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0" w:lineRule="exact"/>
        <w:jc w:val="center"/>
      </w:pPr>
      <w:r>
        <w:rPr>
          <w:rFonts w:ascii="IPAexMincho" w:hAnsi="IPAexMincho" w:eastAsia="IPAexMincho" w:cs="IPAexMincho"/>
          <w:b/>
          <w:color w:val="000000"/>
          <w:sz w:val="22"/>
        </w:rPr>
        <w:t>量子LLM支援プログラミングにおける</w:t>
        <w:br/>
        <w:t>失敗類型と介入カタログの実証研究</w:t>
      </w:r>
    </w:p>
    <w:p>
      <w:pPr>
        <w:spacing w:before="80" w:after="80"/>
        <w:jc w:val="center"/>
      </w:pPr>
      <w:r>
        <w:rPr>
          <w:rFonts w:ascii="IPAexMincho" w:hAnsi="IPAexMincho" w:eastAsia="IPAexMincho" w:cs="IPAexMincho"/>
          <w:b w:val="0"/>
          <w:color w:val="000000"/>
          <w:sz w:val="22"/>
        </w:rPr>
        <w:t>2023TC011 伊藤 悠真　　指導教員：横山 哲郎</w:t>
      </w:r>
    </w:p>
    <w:p>
      <w:pPr>
        <w:sectPr>
          <w:footerReference w:type="default" r:id="rId9"/>
          <w:pgSz w:w="11906" w:h="16838"/>
          <w:pgMar w:top="1020" w:right="1020" w:bottom="1361" w:left="1020" w:header="720" w:footer="680" w:gutter="0"/>
          <w:cols w:space="720"/>
          <w:docGrid w:linePitch="360"/>
        </w:sectPr>
      </w:pPr>
    </w:p>
    <w:p>
      <w:pPr>
        <w:keepNext/>
        <w:spacing w:before="100" w:after="40"/>
      </w:pPr>
      <w:r>
        <w:rPr>
          <w:rFonts w:ascii="IPAexMincho" w:hAnsi="IPAexMincho" w:eastAsia="IPAexMincho" w:cs="IPAexMincho"/>
          <w:b/>
          <w:color w:val="000000"/>
          <w:sz w:val="22"/>
        </w:rPr>
        <w:t>1　背景</w:t>
      </w:r>
    </w:p>
    <w:p>
      <w:pPr>
        <w:ind w:firstLine="220"/>
        <w:jc w:val="both"/>
      </w:pPr>
      <w:r>
        <w:rPr>
          <w:rFonts w:ascii="IPAexMincho" w:hAnsi="IPAexMincho" w:eastAsia="IPAexMincho" w:cs="IPAexMincho"/>
          <w:b w:val="0"/>
          <w:color w:val="000000"/>
          <w:sz w:val="22"/>
        </w:rPr>
        <w:t>LLMによる量子回路コード生成では，実行時の失敗に加え，実行できても期待した量子状態・測定分布を返さない場合がある．本研究の目的は，Qiskitコードの初期失敗に対する修正介入の救済率と救済対象の違いを明らかにし，失敗類型に応じた介入カタログの根拠を整理することである．Self-Refine［1］とSelf-Debugging［2］を背景に比較条件を実装したが，先行研究の完全再現ではない．</w:t>
      </w:r>
    </w:p>
    <w:p>
      <w:pPr>
        <w:keepNext/>
        <w:spacing w:before="100" w:after="40"/>
      </w:pPr>
      <w:r>
        <w:rPr>
          <w:rFonts w:ascii="IPAexMincho" w:hAnsi="IPAexMincho" w:eastAsia="IPAexMincho" w:cs="IPAexMincho"/>
          <w:b/>
          <w:color w:val="000000"/>
          <w:sz w:val="22"/>
        </w:rPr>
        <w:t>2　評価の枠組み</w:t>
      </w:r>
    </w:p>
    <w:p>
      <w:pPr>
        <w:ind w:firstLine="220"/>
        <w:jc w:val="both"/>
      </w:pPr>
      <w:r>
        <w:rPr>
          <w:rFonts w:ascii="IPAexMincho" w:hAnsi="IPAexMincho" w:eastAsia="IPAexMincho" w:cs="IPAexMincho"/>
          <w:b w:val="0"/>
          <w:color w:val="000000"/>
          <w:sz w:val="22"/>
        </w:rPr>
        <w:t>L0はimport・必須関数の要件，L1は回路構築と評価処理の実行，L2は指定入力での期待出力との一致，主L3はこれらと構造要件への適合とする．構造要件は量子ビット数と測定以外の回路命令数の範囲である．主L3は限定された評価基準であり，全入力でのアルゴリズム同値性を保証しない．</w:t>
      </w:r>
    </w:p>
    <w:p>
      <w:pPr>
        <w:ind w:firstLine="220"/>
        <w:jc w:val="both"/>
      </w:pPr>
      <w:r>
        <w:rPr>
          <w:rFonts w:ascii="IPAexMincho" w:hAnsi="IPAexMincho" w:eastAsia="IPAexMincho" w:cs="IPAexMincho"/>
          <w:b w:val="0"/>
          <w:color w:val="000000"/>
          <w:sz w:val="22"/>
        </w:rPr>
        <w:t>測定分布は8,192 shotsの全変動距離，状態ベクトルは大域位相を整合した距離を用い，0.05未満を出力一致とする．測定先は量子ビット順に対応づける．救済率は「初期失敗から最終主L3成功となった組数／初期主L3失敗組数」とし，失敗類型は介入前の判定で固定する．</w:t>
      </w:r>
    </w:p>
    <w:p>
      <w:pPr>
        <w:keepNext/>
        <w:spacing w:before="100" w:after="40"/>
      </w:pPr>
      <w:r>
        <w:rPr>
          <w:rFonts w:ascii="IPAexMincho" w:hAnsi="IPAexMincho" w:eastAsia="IPAexMincho" w:cs="IPAexMincho"/>
          <w:b/>
          <w:color w:val="000000"/>
          <w:sz w:val="22"/>
        </w:rPr>
        <w:t>3　実験方法</w:t>
      </w:r>
    </w:p>
    <w:p>
      <w:pPr>
        <w:ind w:firstLine="220"/>
        <w:jc w:val="both"/>
      </w:pPr>
      <w:r>
        <w:rPr>
          <w:rFonts w:ascii="IPAexMincho" w:hAnsi="IPAexMincho" w:eastAsia="IPAexMincho" w:cs="IPAexMincho"/>
          <w:b w:val="0"/>
          <w:color w:val="000000"/>
          <w:sz w:val="22"/>
        </w:rPr>
        <w:t>5モデル・10タスク・seed 0〜19の1,000初期組を対象に，5条件，計5,000条件記録を分析した．モデル略号はQ4：qwen3.5:4b，G4：gemma4:e4b-it-qat，Q9：qwen3.5:9b，C7：qwen2.5-coder:7b，G3：gemma3:4bである．</w:t>
      </w:r>
    </w:p>
    <w:p>
      <w:pPr>
        <w:ind w:firstLine="220"/>
        <w:jc w:val="both"/>
      </w:pPr>
      <w:r>
        <w:rPr>
          <w:rFonts w:ascii="IPAexMincho" w:hAnsi="IPAexMincho" w:eastAsia="IPAexMincho" w:cs="IPAexMincho"/>
          <w:b w:val="0"/>
          <w:color w:val="000000"/>
          <w:sz w:val="22"/>
        </w:rPr>
        <w:t>タスクはBell，GHZ，Deutsch–Jozsa（constant/balanced），Bernstein–Vazirani，Grover，QFT，IQFT，QPE，Ansatzとした．temperatureは0.7，1要求の生成上限は1,024 tokensである．</w:t>
      </w:r>
    </w:p>
    <w:p>
      <w:pPr>
        <w:ind w:firstLine="220"/>
        <w:jc w:val="both"/>
      </w:pPr>
      <w:r>
        <w:rPr>
          <w:rFonts w:ascii="IPAexMincho" w:hAnsi="IPAexMincho" w:eastAsia="IPAexMincho" w:cs="IPAexMincho"/>
          <w:b w:val="0"/>
          <w:color w:val="000000"/>
          <w:sz w:val="22"/>
        </w:rPr>
        <w:t>Bは初期生成，Rは自己見直し，Fはエラー等の実行結果提示，Dは説明・原因分析を促す自己デバッグ，Pは生成前注意事項である．R/F/DはBと同じ初期コード・判定から最大3回修正し，成功時に停止する．Pは別プロンプトによる独立生成である．</w:t>
      </w:r>
    </w:p>
    <w:p>
      <w:pPr>
        <w:ind w:firstLine="220"/>
        <w:jc w:val="both"/>
      </w:pPr>
      <w:r>
        <w:rPr>
          <w:rFonts w:ascii="IPAexMincho" w:hAnsi="IPAexMincho" w:eastAsia="IPAexMincho" w:cs="IPAexMincho"/>
          <w:b w:val="0"/>
          <w:color w:val="000000"/>
          <w:sz w:val="22"/>
        </w:rPr>
        <w:t>検証済み保存結果と必要な部分追試293ケースを反映した到達可能な経路を用いた［3］．全件を新規生成した実験ではない．元実験の設定・診断文処理には差がある．今回の執筆では追加生成・コード再実行を行わず，旧120件も合算しない．</w:t>
      </w:r>
    </w:p>
    <w:p>
      <w:pPr>
        <w:keepNext/>
        <w:spacing w:before="100" w:after="40"/>
      </w:pPr>
      <w:r>
        <w:rPr>
          <w:rFonts w:ascii="IPAexMincho" w:hAnsi="IPAexMincho" w:eastAsia="IPAexMincho" w:cs="IPAexMincho"/>
          <w:b/>
          <w:color w:val="000000"/>
          <w:sz w:val="22"/>
        </w:rPr>
        <w:t>4　結果</w:t>
      </w:r>
    </w:p>
    <w:p>
      <w:pPr>
        <w:ind w:firstLine="220"/>
        <w:jc w:val="both"/>
      </w:pPr>
      <w:r>
        <w:rPr>
          <w:rFonts w:ascii="IPAexMincho" w:hAnsi="IPAexMincho" w:eastAsia="IPAexMincho" w:cs="IPAexMincho"/>
          <w:b w:val="0"/>
          <w:color w:val="000000"/>
          <w:sz w:val="22"/>
        </w:rPr>
        <w:t>初期成功は455組，失敗は545組であった．救済はRが96/545組（17.6%），Fが183/545組（33.6%），Dが180/545組（33.0%）であった．全体率は初期失敗545組を分母とする合算値である．</w:t>
      </w:r>
    </w:p>
    <w:p>
      <w:pPr>
        <w:keepNext/>
        <w:spacing w:before="100" w:after="60"/>
        <w:jc w:val="center"/>
      </w:pPr>
      <w:r>
        <w:rPr>
          <w:rFonts w:ascii="IPAexMincho" w:hAnsi="IPAexMincho" w:eastAsia="IPAexMincho" w:cs="IPAexMincho"/>
          <w:b w:val="0"/>
          <w:color w:val="000000"/>
          <w:sz w:val="22"/>
        </w:rPr>
        <w:t>表1　モデル別の救済件数（分母は初期失敗）</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871"/>
        <w:gridCol w:w="680"/>
        <w:gridCol w:w="680"/>
        <w:gridCol w:w="680"/>
        <w:gridCol w:w="822"/>
      </w:tblGrid>
      <w:tr>
        <w:trPr>
          <w:cantSplit/>
        </w:trPr>
        <w:tc>
          <w:tcPr>
            <w:tcW w:type="dxa" w:w="1871"/>
            <w:tcBorders>
              <w:top w:val="single" w:sz="4"/>
              <w:bottom w:val="single" w:sz="4"/>
            </w:tcBorders>
          </w:tcPr>
          <w:p>
            <w:pPr>
              <w:keepNext/>
              <w:jc w:val="left"/>
            </w:pPr>
            <w:r>
              <w:rPr>
                <w:rFonts w:ascii="IPAexMincho" w:hAnsi="IPAexMincho" w:eastAsia="IPAexMincho" w:cs="IPAexMincho"/>
                <w:b w:val="0"/>
                <w:color w:val="000000"/>
                <w:sz w:val="22"/>
              </w:rPr>
              <w:t>モデル</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分母</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R</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F</w:t>
            </w:r>
          </w:p>
        </w:tc>
        <w:tc>
          <w:tcPr>
            <w:tcW w:type="dxa" w:w="822"/>
            <w:tcBorders>
              <w:top w:val="single" w:sz="4"/>
              <w:bottom w:val="single" w:sz="4"/>
            </w:tcBorders>
          </w:tcPr>
          <w:p>
            <w:pPr>
              <w:keepNext/>
              <w:jc w:val="right"/>
            </w:pPr>
            <w:r>
              <w:rPr>
                <w:rFonts w:ascii="IPAexMincho" w:hAnsi="IPAexMincho" w:eastAsia="IPAexMincho" w:cs="IPAexMincho"/>
                <w:b w:val="0"/>
                <w:color w:val="000000"/>
                <w:sz w:val="22"/>
              </w:rPr>
              <w:t>D</w:t>
            </w:r>
          </w:p>
        </w:tc>
      </w:tr>
      <w:tr>
        <w:trPr>
          <w:cantSplit/>
        </w:trPr>
        <w:tc>
          <w:tcPr>
            <w:tcW w:type="dxa" w:w="1871"/>
            <w:tcBorders/>
          </w:tcPr>
          <w:p>
            <w:pPr>
              <w:keepNext/>
              <w:jc w:val="left"/>
            </w:pPr>
            <w:r>
              <w:rPr>
                <w:rFonts w:ascii="IPAexMincho" w:hAnsi="IPAexMincho" w:eastAsia="IPAexMincho" w:cs="IPAexMincho"/>
                <w:b w:val="0"/>
                <w:color w:val="000000"/>
                <w:sz w:val="22"/>
              </w:rPr>
              <w:t>G3</w:t>
            </w:r>
          </w:p>
        </w:tc>
        <w:tc>
          <w:tcPr>
            <w:tcW w:type="dxa" w:w="680"/>
            <w:tcBorders/>
          </w:tcPr>
          <w:p>
            <w:pPr>
              <w:keepNext/>
              <w:jc w:val="right"/>
            </w:pPr>
            <w:r>
              <w:rPr>
                <w:rFonts w:ascii="IPAexMincho" w:hAnsi="IPAexMincho" w:eastAsia="IPAexMincho" w:cs="IPAexMincho"/>
                <w:b w:val="0"/>
                <w:color w:val="000000"/>
                <w:sz w:val="22"/>
              </w:rPr>
              <w:t>190</w:t>
            </w:r>
          </w:p>
        </w:tc>
        <w:tc>
          <w:tcPr>
            <w:tcW w:type="dxa" w:w="680"/>
            <w:tcBorders/>
          </w:tcPr>
          <w:p>
            <w:pPr>
              <w:keepNext/>
              <w:jc w:val="right"/>
            </w:pPr>
            <w:r>
              <w:rPr>
                <w:rFonts w:ascii="IPAexMincho" w:hAnsi="IPAexMincho" w:eastAsia="IPAexMincho" w:cs="IPAexMincho"/>
                <w:b w:val="0"/>
                <w:color w:val="000000"/>
                <w:sz w:val="22"/>
              </w:rPr>
              <w:t>5</w:t>
            </w:r>
          </w:p>
        </w:tc>
        <w:tc>
          <w:tcPr>
            <w:tcW w:type="dxa" w:w="680"/>
            <w:tcBorders/>
          </w:tcPr>
          <w:p>
            <w:pPr>
              <w:keepNext/>
              <w:jc w:val="right"/>
            </w:pPr>
            <w:r>
              <w:rPr>
                <w:rFonts w:ascii="IPAexMincho" w:hAnsi="IPAexMincho" w:eastAsia="IPAexMincho" w:cs="IPAexMincho"/>
                <w:b w:val="0"/>
                <w:color w:val="000000"/>
                <w:sz w:val="22"/>
              </w:rPr>
              <w:t>1</w:t>
            </w:r>
          </w:p>
        </w:tc>
        <w:tc>
          <w:tcPr>
            <w:tcW w:type="dxa" w:w="822"/>
            <w:tcBorders/>
          </w:tcPr>
          <w:p>
            <w:pPr>
              <w:keepNext/>
              <w:jc w:val="right"/>
            </w:pPr>
            <w:r>
              <w:rPr>
                <w:rFonts w:ascii="IPAexMincho" w:hAnsi="IPAexMincho" w:eastAsia="IPAexMincho" w:cs="IPAexMincho"/>
                <w:b w:val="0"/>
                <w:color w:val="000000"/>
                <w:sz w:val="22"/>
              </w:rPr>
              <w:t>1</w:t>
            </w:r>
          </w:p>
        </w:tc>
      </w:tr>
      <w:tr>
        <w:trPr>
          <w:cantSplit/>
        </w:trPr>
        <w:tc>
          <w:tcPr>
            <w:tcW w:type="dxa" w:w="1871"/>
            <w:tcBorders/>
          </w:tcPr>
          <w:p>
            <w:pPr>
              <w:keepNext/>
              <w:jc w:val="left"/>
            </w:pPr>
            <w:r>
              <w:rPr>
                <w:rFonts w:ascii="IPAexMincho" w:hAnsi="IPAexMincho" w:eastAsia="IPAexMincho" w:cs="IPAexMincho"/>
                <w:b w:val="0"/>
                <w:color w:val="000000"/>
                <w:sz w:val="22"/>
              </w:rPr>
              <w:t>G4</w:t>
            </w:r>
          </w:p>
        </w:tc>
        <w:tc>
          <w:tcPr>
            <w:tcW w:type="dxa" w:w="680"/>
            <w:tcBorders/>
          </w:tcPr>
          <w:p>
            <w:pPr>
              <w:keepNext/>
              <w:jc w:val="right"/>
            </w:pPr>
            <w:r>
              <w:rPr>
                <w:rFonts w:ascii="IPAexMincho" w:hAnsi="IPAexMincho" w:eastAsia="IPAexMincho" w:cs="IPAexMincho"/>
                <w:b w:val="0"/>
                <w:color w:val="000000"/>
                <w:sz w:val="22"/>
              </w:rPr>
              <w:t>62</w:t>
            </w:r>
          </w:p>
        </w:tc>
        <w:tc>
          <w:tcPr>
            <w:tcW w:type="dxa" w:w="680"/>
            <w:tcBorders/>
          </w:tcPr>
          <w:p>
            <w:pPr>
              <w:keepNext/>
              <w:jc w:val="right"/>
            </w:pPr>
            <w:r>
              <w:rPr>
                <w:rFonts w:ascii="IPAexMincho" w:hAnsi="IPAexMincho" w:eastAsia="IPAexMincho" w:cs="IPAexMincho"/>
                <w:b w:val="0"/>
                <w:color w:val="000000"/>
                <w:sz w:val="22"/>
              </w:rPr>
              <w:t>30</w:t>
            </w:r>
          </w:p>
        </w:tc>
        <w:tc>
          <w:tcPr>
            <w:tcW w:type="dxa" w:w="680"/>
            <w:tcBorders/>
          </w:tcPr>
          <w:p>
            <w:pPr>
              <w:keepNext/>
              <w:jc w:val="right"/>
            </w:pPr>
            <w:r>
              <w:rPr>
                <w:rFonts w:ascii="IPAexMincho" w:hAnsi="IPAexMincho" w:eastAsia="IPAexMincho" w:cs="IPAexMincho"/>
                <w:b w:val="0"/>
                <w:color w:val="000000"/>
                <w:sz w:val="22"/>
              </w:rPr>
              <w:t>48</w:t>
            </w:r>
          </w:p>
        </w:tc>
        <w:tc>
          <w:tcPr>
            <w:tcW w:type="dxa" w:w="822"/>
            <w:tcBorders/>
          </w:tcPr>
          <w:p>
            <w:pPr>
              <w:keepNext/>
              <w:jc w:val="right"/>
            </w:pPr>
            <w:r>
              <w:rPr>
                <w:rFonts w:ascii="IPAexMincho" w:hAnsi="IPAexMincho" w:eastAsia="IPAexMincho" w:cs="IPAexMincho"/>
                <w:b w:val="0"/>
                <w:color w:val="000000"/>
                <w:sz w:val="22"/>
              </w:rPr>
              <w:t>38</w:t>
            </w:r>
          </w:p>
        </w:tc>
      </w:tr>
      <w:tr>
        <w:trPr>
          <w:cantSplit/>
        </w:trPr>
        <w:tc>
          <w:tcPr>
            <w:tcW w:type="dxa" w:w="1871"/>
            <w:tcBorders/>
          </w:tcPr>
          <w:p>
            <w:pPr>
              <w:keepNext/>
              <w:jc w:val="left"/>
            </w:pPr>
            <w:r>
              <w:rPr>
                <w:rFonts w:ascii="IPAexMincho" w:hAnsi="IPAexMincho" w:eastAsia="IPAexMincho" w:cs="IPAexMincho"/>
                <w:b w:val="0"/>
                <w:color w:val="000000"/>
                <w:sz w:val="22"/>
              </w:rPr>
              <w:t>C7</w:t>
            </w:r>
          </w:p>
        </w:tc>
        <w:tc>
          <w:tcPr>
            <w:tcW w:type="dxa" w:w="680"/>
            <w:tcBorders/>
          </w:tcPr>
          <w:p>
            <w:pPr>
              <w:keepNext/>
              <w:jc w:val="right"/>
            </w:pPr>
            <w:r>
              <w:rPr>
                <w:rFonts w:ascii="IPAexMincho" w:hAnsi="IPAexMincho" w:eastAsia="IPAexMincho" w:cs="IPAexMincho"/>
                <w:b w:val="0"/>
                <w:color w:val="000000"/>
                <w:sz w:val="22"/>
              </w:rPr>
              <w:t>65</w:t>
            </w:r>
          </w:p>
        </w:tc>
        <w:tc>
          <w:tcPr>
            <w:tcW w:type="dxa" w:w="680"/>
            <w:tcBorders/>
          </w:tcPr>
          <w:p>
            <w:pPr>
              <w:keepNext/>
              <w:jc w:val="right"/>
            </w:pPr>
            <w:r>
              <w:rPr>
                <w:rFonts w:ascii="IPAexMincho" w:hAnsi="IPAexMincho" w:eastAsia="IPAexMincho" w:cs="IPAexMincho"/>
                <w:b w:val="0"/>
                <w:color w:val="000000"/>
                <w:sz w:val="22"/>
              </w:rPr>
              <w:t>15</w:t>
            </w:r>
          </w:p>
        </w:tc>
        <w:tc>
          <w:tcPr>
            <w:tcW w:type="dxa" w:w="680"/>
            <w:tcBorders/>
          </w:tcPr>
          <w:p>
            <w:pPr>
              <w:keepNext/>
              <w:jc w:val="right"/>
            </w:pPr>
            <w:r>
              <w:rPr>
                <w:rFonts w:ascii="IPAexMincho" w:hAnsi="IPAexMincho" w:eastAsia="IPAexMincho" w:cs="IPAexMincho"/>
                <w:b w:val="0"/>
                <w:color w:val="000000"/>
                <w:sz w:val="22"/>
              </w:rPr>
              <w:t>23</w:t>
            </w:r>
          </w:p>
        </w:tc>
        <w:tc>
          <w:tcPr>
            <w:tcW w:type="dxa" w:w="822"/>
            <w:tcBorders/>
          </w:tcPr>
          <w:p>
            <w:pPr>
              <w:keepNext/>
              <w:jc w:val="right"/>
            </w:pPr>
            <w:r>
              <w:rPr>
                <w:rFonts w:ascii="IPAexMincho" w:hAnsi="IPAexMincho" w:eastAsia="IPAexMincho" w:cs="IPAexMincho"/>
                <w:b w:val="0"/>
                <w:color w:val="000000"/>
                <w:sz w:val="22"/>
              </w:rPr>
              <w:t>23</w:t>
            </w:r>
          </w:p>
        </w:tc>
      </w:tr>
      <w:tr>
        <w:trPr>
          <w:cantSplit/>
        </w:trPr>
        <w:tc>
          <w:tcPr>
            <w:tcW w:type="dxa" w:w="1871"/>
            <w:tcBorders/>
          </w:tcPr>
          <w:p>
            <w:pPr>
              <w:keepNext/>
              <w:jc w:val="left"/>
            </w:pPr>
            <w:r>
              <w:rPr>
                <w:rFonts w:ascii="IPAexMincho" w:hAnsi="IPAexMincho" w:eastAsia="IPAexMincho" w:cs="IPAexMincho"/>
                <w:b w:val="0"/>
                <w:color w:val="000000"/>
                <w:sz w:val="22"/>
              </w:rPr>
              <w:t>Q4</w:t>
            </w:r>
          </w:p>
        </w:tc>
        <w:tc>
          <w:tcPr>
            <w:tcW w:type="dxa" w:w="680"/>
            <w:tcBorders/>
          </w:tcPr>
          <w:p>
            <w:pPr>
              <w:keepNext/>
              <w:jc w:val="right"/>
            </w:pPr>
            <w:r>
              <w:rPr>
                <w:rFonts w:ascii="IPAexMincho" w:hAnsi="IPAexMincho" w:eastAsia="IPAexMincho" w:cs="IPAexMincho"/>
                <w:b w:val="0"/>
                <w:color w:val="000000"/>
                <w:sz w:val="22"/>
              </w:rPr>
              <w:t>162</w:t>
            </w:r>
          </w:p>
        </w:tc>
        <w:tc>
          <w:tcPr>
            <w:tcW w:type="dxa" w:w="680"/>
            <w:tcBorders/>
          </w:tcPr>
          <w:p>
            <w:pPr>
              <w:keepNext/>
              <w:jc w:val="right"/>
            </w:pPr>
            <w:r>
              <w:rPr>
                <w:rFonts w:ascii="IPAexMincho" w:hAnsi="IPAexMincho" w:eastAsia="IPAexMincho" w:cs="IPAexMincho"/>
                <w:b w:val="0"/>
                <w:color w:val="000000"/>
                <w:sz w:val="22"/>
              </w:rPr>
              <w:t>31</w:t>
            </w:r>
          </w:p>
        </w:tc>
        <w:tc>
          <w:tcPr>
            <w:tcW w:type="dxa" w:w="680"/>
            <w:tcBorders/>
          </w:tcPr>
          <w:p>
            <w:pPr>
              <w:keepNext/>
              <w:jc w:val="right"/>
            </w:pPr>
            <w:r>
              <w:rPr>
                <w:rFonts w:ascii="IPAexMincho" w:hAnsi="IPAexMincho" w:eastAsia="IPAexMincho" w:cs="IPAexMincho"/>
                <w:b w:val="0"/>
                <w:color w:val="000000"/>
                <w:sz w:val="22"/>
              </w:rPr>
              <w:t>78</w:t>
            </w:r>
          </w:p>
        </w:tc>
        <w:tc>
          <w:tcPr>
            <w:tcW w:type="dxa" w:w="822"/>
            <w:tcBorders/>
          </w:tcPr>
          <w:p>
            <w:pPr>
              <w:keepNext/>
              <w:jc w:val="right"/>
            </w:pPr>
            <w:r>
              <w:rPr>
                <w:rFonts w:ascii="IPAexMincho" w:hAnsi="IPAexMincho" w:eastAsia="IPAexMincho" w:cs="IPAexMincho"/>
                <w:b w:val="0"/>
                <w:color w:val="000000"/>
                <w:sz w:val="22"/>
              </w:rPr>
              <w:t>90</w:t>
            </w:r>
          </w:p>
        </w:tc>
      </w:tr>
      <w:tr>
        <w:trPr>
          <w:cantSplit/>
        </w:trPr>
        <w:tc>
          <w:tcPr>
            <w:tcW w:type="dxa" w:w="1871"/>
            <w:tcBorders>
              <w:bottom w:val="single" w:sz="4"/>
            </w:tcBorders>
          </w:tcPr>
          <w:p>
            <w:pPr>
              <w:keepNext w:val="0"/>
              <w:jc w:val="left"/>
            </w:pPr>
            <w:r>
              <w:rPr>
                <w:rFonts w:ascii="IPAexMincho" w:hAnsi="IPAexMincho" w:eastAsia="IPAexMincho" w:cs="IPAexMincho"/>
                <w:b w:val="0"/>
                <w:color w:val="000000"/>
                <w:sz w:val="22"/>
              </w:rPr>
              <w:t>Q9</w:t>
            </w:r>
          </w:p>
        </w:tc>
        <w:tc>
          <w:tcPr>
            <w:tcW w:type="dxa" w:w="680"/>
            <w:tcBorders>
              <w:bottom w:val="single" w:sz="4"/>
            </w:tcBorders>
          </w:tcPr>
          <w:p>
            <w:pPr>
              <w:keepNext w:val="0"/>
              <w:jc w:val="right"/>
            </w:pPr>
            <w:r>
              <w:rPr>
                <w:rFonts w:ascii="IPAexMincho" w:hAnsi="IPAexMincho" w:eastAsia="IPAexMincho" w:cs="IPAexMincho"/>
                <w:b w:val="0"/>
                <w:color w:val="000000"/>
                <w:sz w:val="22"/>
              </w:rPr>
              <w:t>66</w:t>
            </w:r>
          </w:p>
        </w:tc>
        <w:tc>
          <w:tcPr>
            <w:tcW w:type="dxa" w:w="680"/>
            <w:tcBorders>
              <w:bottom w:val="single" w:sz="4"/>
            </w:tcBorders>
          </w:tcPr>
          <w:p>
            <w:pPr>
              <w:keepNext w:val="0"/>
              <w:jc w:val="right"/>
            </w:pPr>
            <w:r>
              <w:rPr>
                <w:rFonts w:ascii="IPAexMincho" w:hAnsi="IPAexMincho" w:eastAsia="IPAexMincho" w:cs="IPAexMincho"/>
                <w:b w:val="0"/>
                <w:color w:val="000000"/>
                <w:sz w:val="22"/>
              </w:rPr>
              <w:t>15</w:t>
            </w:r>
          </w:p>
        </w:tc>
        <w:tc>
          <w:tcPr>
            <w:tcW w:type="dxa" w:w="680"/>
            <w:tcBorders>
              <w:bottom w:val="single" w:sz="4"/>
            </w:tcBorders>
          </w:tcPr>
          <w:p>
            <w:pPr>
              <w:keepNext w:val="0"/>
              <w:jc w:val="right"/>
            </w:pPr>
            <w:r>
              <w:rPr>
                <w:rFonts w:ascii="IPAexMincho" w:hAnsi="IPAexMincho" w:eastAsia="IPAexMincho" w:cs="IPAexMincho"/>
                <w:b w:val="0"/>
                <w:color w:val="000000"/>
                <w:sz w:val="22"/>
              </w:rPr>
              <w:t>33</w:t>
            </w:r>
          </w:p>
        </w:tc>
        <w:tc>
          <w:tcPr>
            <w:tcW w:type="dxa" w:w="822"/>
            <w:tcBorders>
              <w:bottom w:val="single" w:sz="4"/>
            </w:tcBorders>
          </w:tcPr>
          <w:p>
            <w:pPr>
              <w:keepNext w:val="0"/>
              <w:jc w:val="right"/>
            </w:pPr>
            <w:r>
              <w:rPr>
                <w:rFonts w:ascii="IPAexMincho" w:hAnsi="IPAexMincho" w:eastAsia="IPAexMincho" w:cs="IPAexMincho"/>
                <w:b w:val="0"/>
                <w:color w:val="000000"/>
                <w:sz w:val="22"/>
              </w:rPr>
              <w:t>28</w:t>
            </w:r>
          </w:p>
        </w:tc>
      </w:tr>
    </w:tbl>
    <w:p>
      <w:pPr>
        <w:ind w:firstLine="220"/>
        <w:jc w:val="both"/>
      </w:pPr>
      <w:r>
        <w:rPr>
          <w:rFonts w:ascii="IPAexMincho" w:hAnsi="IPAexMincho" w:eastAsia="IPAexMincho" w:cs="IPAexMincho"/>
          <w:b w:val="0"/>
          <w:color w:val="000000"/>
          <w:sz w:val="22"/>
        </w:rPr>
        <w:t>表1では，G4の救済はF 48/62組，D 38/62組だが，Q4ではF 78/162組，D 90/162組と大小が入れ替わる．各モデル200初期組のうち失敗した組だけを分母とした．</w:t>
      </w:r>
    </w:p>
    <w:p>
      <w:pPr>
        <w:keepNext/>
        <w:spacing w:before="100" w:after="60"/>
        <w:jc w:val="center"/>
      </w:pPr>
      <w:r>
        <w:rPr>
          <w:rFonts w:ascii="IPAexMincho" w:hAnsi="IPAexMincho" w:eastAsia="IPAexMincho" w:cs="IPAexMincho"/>
          <w:b w:val="0"/>
          <w:color w:val="000000"/>
          <w:sz w:val="22"/>
        </w:rPr>
        <w:t>表2　初期失敗類型別の救済件数</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871"/>
        <w:gridCol w:w="680"/>
        <w:gridCol w:w="680"/>
        <w:gridCol w:w="680"/>
        <w:gridCol w:w="822"/>
      </w:tblGrid>
      <w:tr>
        <w:trPr>
          <w:cantSplit/>
        </w:trPr>
        <w:tc>
          <w:tcPr>
            <w:tcW w:type="dxa" w:w="1871"/>
            <w:tcBorders>
              <w:top w:val="single" w:sz="4"/>
              <w:bottom w:val="single" w:sz="4"/>
            </w:tcBorders>
          </w:tcPr>
          <w:p>
            <w:pPr>
              <w:keepNext/>
              <w:jc w:val="left"/>
            </w:pPr>
            <w:r>
              <w:rPr>
                <w:rFonts w:ascii="IPAexMincho" w:hAnsi="IPAexMincho" w:eastAsia="IPAexMincho" w:cs="IPAexMincho"/>
                <w:b w:val="0"/>
                <w:color w:val="000000"/>
                <w:sz w:val="22"/>
              </w:rPr>
              <w:t>初期失敗</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分母</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R</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F</w:t>
            </w:r>
          </w:p>
        </w:tc>
        <w:tc>
          <w:tcPr>
            <w:tcW w:type="dxa" w:w="822"/>
            <w:tcBorders>
              <w:top w:val="single" w:sz="4"/>
              <w:bottom w:val="single" w:sz="4"/>
            </w:tcBorders>
          </w:tcPr>
          <w:p>
            <w:pPr>
              <w:keepNext/>
              <w:jc w:val="right"/>
            </w:pPr>
            <w:r>
              <w:rPr>
                <w:rFonts w:ascii="IPAexMincho" w:hAnsi="IPAexMincho" w:eastAsia="IPAexMincho" w:cs="IPAexMincho"/>
                <w:b w:val="0"/>
                <w:color w:val="000000"/>
                <w:sz w:val="22"/>
              </w:rPr>
              <w:t>D</w:t>
            </w:r>
          </w:p>
        </w:tc>
      </w:tr>
      <w:tr>
        <w:trPr>
          <w:cantSplit/>
        </w:trPr>
        <w:tc>
          <w:tcPr>
            <w:tcW w:type="dxa" w:w="1871"/>
            <w:tcBorders/>
          </w:tcPr>
          <w:p>
            <w:pPr>
              <w:keepNext/>
              <w:jc w:val="left"/>
            </w:pPr>
            <w:r>
              <w:rPr>
                <w:rFonts w:ascii="IPAexMincho" w:hAnsi="IPAexMincho" w:eastAsia="IPAexMincho" w:cs="IPAexMincho"/>
                <w:b w:val="0"/>
                <w:color w:val="000000"/>
                <w:sz w:val="22"/>
              </w:rPr>
              <w:t>回路構築</w:t>
            </w:r>
          </w:p>
        </w:tc>
        <w:tc>
          <w:tcPr>
            <w:tcW w:type="dxa" w:w="680"/>
            <w:tcBorders/>
          </w:tcPr>
          <w:p>
            <w:pPr>
              <w:keepNext/>
              <w:jc w:val="right"/>
            </w:pPr>
            <w:r>
              <w:rPr>
                <w:rFonts w:ascii="IPAexMincho" w:hAnsi="IPAexMincho" w:eastAsia="IPAexMincho" w:cs="IPAexMincho"/>
                <w:b w:val="0"/>
                <w:color w:val="000000"/>
                <w:sz w:val="22"/>
              </w:rPr>
              <w:t>126</w:t>
            </w:r>
          </w:p>
        </w:tc>
        <w:tc>
          <w:tcPr>
            <w:tcW w:type="dxa" w:w="680"/>
            <w:tcBorders/>
          </w:tcPr>
          <w:p>
            <w:pPr>
              <w:keepNext/>
              <w:jc w:val="right"/>
            </w:pPr>
            <w:r>
              <w:rPr>
                <w:rFonts w:ascii="IPAexMincho" w:hAnsi="IPAexMincho" w:eastAsia="IPAexMincho" w:cs="IPAexMincho"/>
                <w:b w:val="0"/>
                <w:color w:val="000000"/>
                <w:sz w:val="22"/>
              </w:rPr>
              <w:t>32</w:t>
            </w:r>
          </w:p>
        </w:tc>
        <w:tc>
          <w:tcPr>
            <w:tcW w:type="dxa" w:w="680"/>
            <w:tcBorders/>
          </w:tcPr>
          <w:p>
            <w:pPr>
              <w:keepNext/>
              <w:jc w:val="right"/>
            </w:pPr>
            <w:r>
              <w:rPr>
                <w:rFonts w:ascii="IPAexMincho" w:hAnsi="IPAexMincho" w:eastAsia="IPAexMincho" w:cs="IPAexMincho"/>
                <w:b w:val="0"/>
                <w:color w:val="000000"/>
                <w:sz w:val="22"/>
              </w:rPr>
              <w:t>76</w:t>
            </w:r>
          </w:p>
        </w:tc>
        <w:tc>
          <w:tcPr>
            <w:tcW w:type="dxa" w:w="822"/>
            <w:tcBorders/>
          </w:tcPr>
          <w:p>
            <w:pPr>
              <w:keepNext/>
              <w:jc w:val="right"/>
            </w:pPr>
            <w:r>
              <w:rPr>
                <w:rFonts w:ascii="IPAexMincho" w:hAnsi="IPAexMincho" w:eastAsia="IPAexMincho" w:cs="IPAexMincho"/>
                <w:b w:val="0"/>
                <w:color w:val="000000"/>
                <w:sz w:val="22"/>
              </w:rPr>
              <w:t>68</w:t>
            </w:r>
          </w:p>
        </w:tc>
      </w:tr>
      <w:tr>
        <w:trPr>
          <w:cantSplit/>
        </w:trPr>
        <w:tc>
          <w:tcPr>
            <w:tcW w:type="dxa" w:w="1871"/>
            <w:tcBorders/>
          </w:tcPr>
          <w:p>
            <w:pPr>
              <w:keepNext/>
              <w:jc w:val="left"/>
            </w:pPr>
            <w:r>
              <w:rPr>
                <w:rFonts w:ascii="IPAexMincho" w:hAnsi="IPAexMincho" w:eastAsia="IPAexMincho" w:cs="IPAexMincho"/>
                <w:b w:val="0"/>
                <w:color w:val="000000"/>
                <w:sz w:val="22"/>
              </w:rPr>
              <w:t>import</w:t>
            </w:r>
          </w:p>
        </w:tc>
        <w:tc>
          <w:tcPr>
            <w:tcW w:type="dxa" w:w="680"/>
            <w:tcBorders/>
          </w:tcPr>
          <w:p>
            <w:pPr>
              <w:keepNext/>
              <w:jc w:val="right"/>
            </w:pPr>
            <w:r>
              <w:rPr>
                <w:rFonts w:ascii="IPAexMincho" w:hAnsi="IPAexMincho" w:eastAsia="IPAexMincho" w:cs="IPAexMincho"/>
                <w:b w:val="0"/>
                <w:color w:val="000000"/>
                <w:sz w:val="22"/>
              </w:rPr>
              <w:t>271</w:t>
            </w:r>
          </w:p>
        </w:tc>
        <w:tc>
          <w:tcPr>
            <w:tcW w:type="dxa" w:w="680"/>
            <w:tcBorders/>
          </w:tcPr>
          <w:p>
            <w:pPr>
              <w:keepNext/>
              <w:jc w:val="right"/>
            </w:pPr>
            <w:r>
              <w:rPr>
                <w:rFonts w:ascii="IPAexMincho" w:hAnsi="IPAexMincho" w:eastAsia="IPAexMincho" w:cs="IPAexMincho"/>
                <w:b w:val="0"/>
                <w:color w:val="000000"/>
                <w:sz w:val="22"/>
              </w:rPr>
              <w:t>24</w:t>
            </w:r>
          </w:p>
        </w:tc>
        <w:tc>
          <w:tcPr>
            <w:tcW w:type="dxa" w:w="680"/>
            <w:tcBorders/>
          </w:tcPr>
          <w:p>
            <w:pPr>
              <w:keepNext/>
              <w:jc w:val="right"/>
            </w:pPr>
            <w:r>
              <w:rPr>
                <w:rFonts w:ascii="IPAexMincho" w:hAnsi="IPAexMincho" w:eastAsia="IPAexMincho" w:cs="IPAexMincho"/>
                <w:b w:val="0"/>
                <w:color w:val="000000"/>
                <w:sz w:val="22"/>
              </w:rPr>
              <w:t>58</w:t>
            </w:r>
          </w:p>
        </w:tc>
        <w:tc>
          <w:tcPr>
            <w:tcW w:type="dxa" w:w="822"/>
            <w:tcBorders/>
          </w:tcPr>
          <w:p>
            <w:pPr>
              <w:keepNext/>
              <w:jc w:val="right"/>
            </w:pPr>
            <w:r>
              <w:rPr>
                <w:rFonts w:ascii="IPAexMincho" w:hAnsi="IPAexMincho" w:eastAsia="IPAexMincho" w:cs="IPAexMincho"/>
                <w:b w:val="0"/>
                <w:color w:val="000000"/>
                <w:sz w:val="22"/>
              </w:rPr>
              <w:t>72</w:t>
            </w:r>
          </w:p>
        </w:tc>
      </w:tr>
      <w:tr>
        <w:trPr>
          <w:cantSplit/>
        </w:trPr>
        <w:tc>
          <w:tcPr>
            <w:tcW w:type="dxa" w:w="1871"/>
            <w:tcBorders/>
          </w:tcPr>
          <w:p>
            <w:pPr>
              <w:keepNext/>
              <w:jc w:val="left"/>
            </w:pPr>
            <w:r>
              <w:rPr>
                <w:rFonts w:ascii="IPAexMincho" w:hAnsi="IPAexMincho" w:eastAsia="IPAexMincho" w:cs="IPAexMincho"/>
                <w:b w:val="0"/>
                <w:color w:val="000000"/>
                <w:sz w:val="22"/>
              </w:rPr>
              <w:t>IF不適合</w:t>
            </w:r>
          </w:p>
        </w:tc>
        <w:tc>
          <w:tcPr>
            <w:tcW w:type="dxa" w:w="680"/>
            <w:tcBorders/>
          </w:tcPr>
          <w:p>
            <w:pPr>
              <w:keepNext/>
              <w:jc w:val="right"/>
            </w:pPr>
            <w:r>
              <w:rPr>
                <w:rFonts w:ascii="IPAexMincho" w:hAnsi="IPAexMincho" w:eastAsia="IPAexMincho" w:cs="IPAexMincho"/>
                <w:b w:val="0"/>
                <w:color w:val="000000"/>
                <w:sz w:val="22"/>
              </w:rPr>
              <w:t>11</w:t>
            </w:r>
          </w:p>
        </w:tc>
        <w:tc>
          <w:tcPr>
            <w:tcW w:type="dxa" w:w="680"/>
            <w:tcBorders/>
          </w:tcPr>
          <w:p>
            <w:pPr>
              <w:keepNext/>
              <w:jc w:val="right"/>
            </w:pPr>
            <w:r>
              <w:rPr>
                <w:rFonts w:ascii="IPAexMincho" w:hAnsi="IPAexMincho" w:eastAsia="IPAexMincho" w:cs="IPAexMincho"/>
                <w:b w:val="0"/>
                <w:color w:val="000000"/>
                <w:sz w:val="22"/>
              </w:rPr>
              <w:t>1</w:t>
            </w:r>
          </w:p>
        </w:tc>
        <w:tc>
          <w:tcPr>
            <w:tcW w:type="dxa" w:w="680"/>
            <w:tcBorders/>
          </w:tcPr>
          <w:p>
            <w:pPr>
              <w:keepNext/>
              <w:jc w:val="right"/>
            </w:pPr>
            <w:r>
              <w:rPr>
                <w:rFonts w:ascii="IPAexMincho" w:hAnsi="IPAexMincho" w:eastAsia="IPAexMincho" w:cs="IPAexMincho"/>
                <w:b w:val="0"/>
                <w:color w:val="000000"/>
                <w:sz w:val="22"/>
              </w:rPr>
              <w:t>0</w:t>
            </w:r>
          </w:p>
        </w:tc>
        <w:tc>
          <w:tcPr>
            <w:tcW w:type="dxa" w:w="822"/>
            <w:tcBorders/>
          </w:tcPr>
          <w:p>
            <w:pPr>
              <w:keepNext/>
              <w:jc w:val="right"/>
            </w:pPr>
            <w:r>
              <w:rPr>
                <w:rFonts w:ascii="IPAexMincho" w:hAnsi="IPAexMincho" w:eastAsia="IPAexMincho" w:cs="IPAexMincho"/>
                <w:b w:val="0"/>
                <w:color w:val="000000"/>
                <w:sz w:val="22"/>
              </w:rPr>
              <w:t>1</w:t>
            </w:r>
          </w:p>
        </w:tc>
      </w:tr>
      <w:tr>
        <w:trPr>
          <w:cantSplit/>
        </w:trPr>
        <w:tc>
          <w:tcPr>
            <w:tcW w:type="dxa" w:w="1871"/>
            <w:tcBorders/>
          </w:tcPr>
          <w:p>
            <w:pPr>
              <w:keepNext/>
              <w:jc w:val="left"/>
            </w:pPr>
            <w:r>
              <w:rPr>
                <w:rFonts w:ascii="IPAexMincho" w:hAnsi="IPAexMincho" w:eastAsia="IPAexMincho" w:cs="IPAexMincho"/>
                <w:b w:val="0"/>
                <w:color w:val="000000"/>
                <w:sz w:val="22"/>
              </w:rPr>
              <w:t>量子ビット数</w:t>
            </w:r>
          </w:p>
        </w:tc>
        <w:tc>
          <w:tcPr>
            <w:tcW w:type="dxa" w:w="680"/>
            <w:tcBorders/>
          </w:tcPr>
          <w:p>
            <w:pPr>
              <w:keepNext/>
              <w:jc w:val="right"/>
            </w:pPr>
            <w:r>
              <w:rPr>
                <w:rFonts w:ascii="IPAexMincho" w:hAnsi="IPAexMincho" w:eastAsia="IPAexMincho" w:cs="IPAexMincho"/>
                <w:b w:val="0"/>
                <w:color w:val="000000"/>
                <w:sz w:val="22"/>
              </w:rPr>
              <w:t>3</w:t>
            </w:r>
          </w:p>
        </w:tc>
        <w:tc>
          <w:tcPr>
            <w:tcW w:type="dxa" w:w="680"/>
            <w:tcBorders/>
          </w:tcPr>
          <w:p>
            <w:pPr>
              <w:keepNext/>
              <w:jc w:val="right"/>
            </w:pPr>
            <w:r>
              <w:rPr>
                <w:rFonts w:ascii="IPAexMincho" w:hAnsi="IPAexMincho" w:eastAsia="IPAexMincho" w:cs="IPAexMincho"/>
                <w:b w:val="0"/>
                <w:color w:val="000000"/>
                <w:sz w:val="22"/>
              </w:rPr>
              <w:t>2</w:t>
            </w:r>
          </w:p>
        </w:tc>
        <w:tc>
          <w:tcPr>
            <w:tcW w:type="dxa" w:w="680"/>
            <w:tcBorders/>
          </w:tcPr>
          <w:p>
            <w:pPr>
              <w:keepNext/>
              <w:jc w:val="right"/>
            </w:pPr>
            <w:r>
              <w:rPr>
                <w:rFonts w:ascii="IPAexMincho" w:hAnsi="IPAexMincho" w:eastAsia="IPAexMincho" w:cs="IPAexMincho"/>
                <w:b w:val="0"/>
                <w:color w:val="000000"/>
                <w:sz w:val="22"/>
              </w:rPr>
              <w:t>0</w:t>
            </w:r>
          </w:p>
        </w:tc>
        <w:tc>
          <w:tcPr>
            <w:tcW w:type="dxa" w:w="822"/>
            <w:tcBorders/>
          </w:tcPr>
          <w:p>
            <w:pPr>
              <w:keepNext/>
              <w:jc w:val="right"/>
            </w:pPr>
            <w:r>
              <w:rPr>
                <w:rFonts w:ascii="IPAexMincho" w:hAnsi="IPAexMincho" w:eastAsia="IPAexMincho" w:cs="IPAexMincho"/>
                <w:b w:val="0"/>
                <w:color w:val="000000"/>
                <w:sz w:val="22"/>
              </w:rPr>
              <w:t>0</w:t>
            </w:r>
          </w:p>
        </w:tc>
      </w:tr>
      <w:tr>
        <w:trPr>
          <w:cantSplit/>
        </w:trPr>
        <w:tc>
          <w:tcPr>
            <w:tcW w:type="dxa" w:w="1871"/>
            <w:tcBorders/>
          </w:tcPr>
          <w:p>
            <w:pPr>
              <w:keepNext/>
              <w:jc w:val="left"/>
            </w:pPr>
            <w:r>
              <w:rPr>
                <w:rFonts w:ascii="IPAexMincho" w:hAnsi="IPAexMincho" w:eastAsia="IPAexMincho" w:cs="IPAexMincho"/>
                <w:b w:val="0"/>
                <w:color w:val="000000"/>
                <w:sz w:val="22"/>
              </w:rPr>
              <w:t>構文</w:t>
            </w:r>
          </w:p>
        </w:tc>
        <w:tc>
          <w:tcPr>
            <w:tcW w:type="dxa" w:w="680"/>
            <w:tcBorders/>
          </w:tcPr>
          <w:p>
            <w:pPr>
              <w:keepNext/>
              <w:jc w:val="right"/>
            </w:pPr>
            <w:r>
              <w:rPr>
                <w:rFonts w:ascii="IPAexMincho" w:hAnsi="IPAexMincho" w:eastAsia="IPAexMincho" w:cs="IPAexMincho"/>
                <w:b w:val="0"/>
                <w:color w:val="000000"/>
                <w:sz w:val="22"/>
              </w:rPr>
              <w:t>68</w:t>
            </w:r>
          </w:p>
        </w:tc>
        <w:tc>
          <w:tcPr>
            <w:tcW w:type="dxa" w:w="680"/>
            <w:tcBorders/>
          </w:tcPr>
          <w:p>
            <w:pPr>
              <w:keepNext/>
              <w:jc w:val="right"/>
            </w:pPr>
            <w:r>
              <w:rPr>
                <w:rFonts w:ascii="IPAexMincho" w:hAnsi="IPAexMincho" w:eastAsia="IPAexMincho" w:cs="IPAexMincho"/>
                <w:b w:val="0"/>
                <w:color w:val="000000"/>
                <w:sz w:val="22"/>
              </w:rPr>
              <w:t>21</w:t>
            </w:r>
          </w:p>
        </w:tc>
        <w:tc>
          <w:tcPr>
            <w:tcW w:type="dxa" w:w="680"/>
            <w:tcBorders/>
          </w:tcPr>
          <w:p>
            <w:pPr>
              <w:keepNext/>
              <w:jc w:val="right"/>
            </w:pPr>
            <w:r>
              <w:rPr>
                <w:rFonts w:ascii="IPAexMincho" w:hAnsi="IPAexMincho" w:eastAsia="IPAexMincho" w:cs="IPAexMincho"/>
                <w:b w:val="0"/>
                <w:color w:val="000000"/>
                <w:sz w:val="22"/>
              </w:rPr>
              <w:t>25</w:t>
            </w:r>
          </w:p>
        </w:tc>
        <w:tc>
          <w:tcPr>
            <w:tcW w:type="dxa" w:w="822"/>
            <w:tcBorders/>
          </w:tcPr>
          <w:p>
            <w:pPr>
              <w:keepNext/>
              <w:jc w:val="right"/>
            </w:pPr>
            <w:r>
              <w:rPr>
                <w:rFonts w:ascii="IPAexMincho" w:hAnsi="IPAexMincho" w:eastAsia="IPAexMincho" w:cs="IPAexMincho"/>
                <w:b w:val="0"/>
                <w:color w:val="000000"/>
                <w:sz w:val="22"/>
              </w:rPr>
              <w:t>21</w:t>
            </w:r>
          </w:p>
        </w:tc>
      </w:tr>
      <w:tr>
        <w:trPr>
          <w:cantSplit/>
        </w:trPr>
        <w:tc>
          <w:tcPr>
            <w:tcW w:type="dxa" w:w="1871"/>
            <w:tcBorders/>
          </w:tcPr>
          <w:p>
            <w:pPr>
              <w:keepNext/>
              <w:jc w:val="left"/>
            </w:pPr>
            <w:r>
              <w:rPr>
                <w:rFonts w:ascii="IPAexMincho" w:hAnsi="IPAexMincho" w:eastAsia="IPAexMincho" w:cs="IPAexMincho"/>
                <w:b w:val="0"/>
                <w:color w:val="000000"/>
                <w:sz w:val="22"/>
              </w:rPr>
              <w:t>unknown</w:t>
            </w:r>
          </w:p>
        </w:tc>
        <w:tc>
          <w:tcPr>
            <w:tcW w:type="dxa" w:w="680"/>
            <w:tcBorders/>
          </w:tcPr>
          <w:p>
            <w:pPr>
              <w:keepNext/>
              <w:jc w:val="right"/>
            </w:pPr>
            <w:r>
              <w:rPr>
                <w:rFonts w:ascii="IPAexMincho" w:hAnsi="IPAexMincho" w:eastAsia="IPAexMincho" w:cs="IPAexMincho"/>
                <w:b w:val="0"/>
                <w:color w:val="000000"/>
                <w:sz w:val="22"/>
              </w:rPr>
              <w:t>1</w:t>
            </w:r>
          </w:p>
        </w:tc>
        <w:tc>
          <w:tcPr>
            <w:tcW w:type="dxa" w:w="680"/>
            <w:tcBorders/>
          </w:tcPr>
          <w:p>
            <w:pPr>
              <w:keepNext/>
              <w:jc w:val="right"/>
            </w:pPr>
            <w:r>
              <w:rPr>
                <w:rFonts w:ascii="IPAexMincho" w:hAnsi="IPAexMincho" w:eastAsia="IPAexMincho" w:cs="IPAexMincho"/>
                <w:b w:val="0"/>
                <w:color w:val="000000"/>
                <w:sz w:val="22"/>
              </w:rPr>
              <w:t>0</w:t>
            </w:r>
          </w:p>
        </w:tc>
        <w:tc>
          <w:tcPr>
            <w:tcW w:type="dxa" w:w="680"/>
            <w:tcBorders/>
          </w:tcPr>
          <w:p>
            <w:pPr>
              <w:keepNext/>
              <w:jc w:val="right"/>
            </w:pPr>
            <w:r>
              <w:rPr>
                <w:rFonts w:ascii="IPAexMincho" w:hAnsi="IPAexMincho" w:eastAsia="IPAexMincho" w:cs="IPAexMincho"/>
                <w:b w:val="0"/>
                <w:color w:val="000000"/>
                <w:sz w:val="22"/>
              </w:rPr>
              <w:t>0</w:t>
            </w:r>
          </w:p>
        </w:tc>
        <w:tc>
          <w:tcPr>
            <w:tcW w:type="dxa" w:w="822"/>
            <w:tcBorders/>
          </w:tcPr>
          <w:p>
            <w:pPr>
              <w:keepNext/>
              <w:jc w:val="right"/>
            </w:pPr>
            <w:r>
              <w:rPr>
                <w:rFonts w:ascii="IPAexMincho" w:hAnsi="IPAexMincho" w:eastAsia="IPAexMincho" w:cs="IPAexMincho"/>
                <w:b w:val="0"/>
                <w:color w:val="000000"/>
                <w:sz w:val="22"/>
              </w:rPr>
              <w:t>0</w:t>
            </w:r>
          </w:p>
        </w:tc>
      </w:tr>
      <w:tr>
        <w:trPr>
          <w:cantSplit/>
        </w:trPr>
        <w:tc>
          <w:tcPr>
            <w:tcW w:type="dxa" w:w="1871"/>
            <w:tcBorders>
              <w:bottom w:val="single" w:sz="4"/>
            </w:tcBorders>
          </w:tcPr>
          <w:p>
            <w:pPr>
              <w:keepNext w:val="0"/>
              <w:jc w:val="left"/>
            </w:pPr>
            <w:r>
              <w:rPr>
                <w:rFonts w:ascii="IPAexMincho" w:hAnsi="IPAexMincho" w:eastAsia="IPAexMincho" w:cs="IPAexMincho"/>
                <w:b w:val="0"/>
                <w:color w:val="000000"/>
                <w:sz w:val="22"/>
              </w:rPr>
              <w:t>出力不一致</w:t>
            </w:r>
          </w:p>
        </w:tc>
        <w:tc>
          <w:tcPr>
            <w:tcW w:type="dxa" w:w="680"/>
            <w:tcBorders>
              <w:bottom w:val="single" w:sz="4"/>
            </w:tcBorders>
          </w:tcPr>
          <w:p>
            <w:pPr>
              <w:keepNext w:val="0"/>
              <w:jc w:val="right"/>
            </w:pPr>
            <w:r>
              <w:rPr>
                <w:rFonts w:ascii="IPAexMincho" w:hAnsi="IPAexMincho" w:eastAsia="IPAexMincho" w:cs="IPAexMincho"/>
                <w:b w:val="0"/>
                <w:color w:val="000000"/>
                <w:sz w:val="22"/>
              </w:rPr>
              <w:t>65</w:t>
            </w:r>
          </w:p>
        </w:tc>
        <w:tc>
          <w:tcPr>
            <w:tcW w:type="dxa" w:w="680"/>
            <w:tcBorders>
              <w:bottom w:val="single" w:sz="4"/>
            </w:tcBorders>
          </w:tcPr>
          <w:p>
            <w:pPr>
              <w:keepNext w:val="0"/>
              <w:jc w:val="right"/>
            </w:pPr>
            <w:r>
              <w:rPr>
                <w:rFonts w:ascii="IPAexMincho" w:hAnsi="IPAexMincho" w:eastAsia="IPAexMincho" w:cs="IPAexMincho"/>
                <w:b w:val="0"/>
                <w:color w:val="000000"/>
                <w:sz w:val="22"/>
              </w:rPr>
              <w:t>16</w:t>
            </w:r>
          </w:p>
        </w:tc>
        <w:tc>
          <w:tcPr>
            <w:tcW w:type="dxa" w:w="680"/>
            <w:tcBorders>
              <w:bottom w:val="single" w:sz="4"/>
            </w:tcBorders>
          </w:tcPr>
          <w:p>
            <w:pPr>
              <w:keepNext w:val="0"/>
              <w:jc w:val="right"/>
            </w:pPr>
            <w:r>
              <w:rPr>
                <w:rFonts w:ascii="IPAexMincho" w:hAnsi="IPAexMincho" w:eastAsia="IPAexMincho" w:cs="IPAexMincho"/>
                <w:b w:val="0"/>
                <w:color w:val="000000"/>
                <w:sz w:val="22"/>
              </w:rPr>
              <w:t>24</w:t>
            </w:r>
          </w:p>
        </w:tc>
        <w:tc>
          <w:tcPr>
            <w:tcW w:type="dxa" w:w="822"/>
            <w:tcBorders>
              <w:bottom w:val="single" w:sz="4"/>
            </w:tcBorders>
          </w:tcPr>
          <w:p>
            <w:pPr>
              <w:keepNext w:val="0"/>
              <w:jc w:val="right"/>
            </w:pPr>
            <w:r>
              <w:rPr>
                <w:rFonts w:ascii="IPAexMincho" w:hAnsi="IPAexMincho" w:eastAsia="IPAexMincho" w:cs="IPAexMincho"/>
                <w:b w:val="0"/>
                <w:color w:val="000000"/>
                <w:sz w:val="22"/>
              </w:rPr>
              <w:t>18</w:t>
            </w:r>
          </w:p>
        </w:tc>
      </w:tr>
    </w:tbl>
    <w:p>
      <w:pPr>
        <w:ind w:firstLine="220"/>
        <w:jc w:val="both"/>
      </w:pPr>
      <w:r>
        <w:rPr>
          <w:rFonts w:ascii="IPAexMincho" w:hAnsi="IPAexMincho" w:eastAsia="IPAexMincho" w:cs="IPAexMincho"/>
          <w:b w:val="0"/>
          <w:color w:val="000000"/>
          <w:sz w:val="22"/>
        </w:rPr>
        <w:t>表2のimport失敗はF 58/271組（21.4%），D 72/271組（26.6%），回路構築失敗はF 76/126組（60.3%），D 68/126組（54.0%）であった．IFはインターフェースを表す．保存分類unknownの1組は生成コード側の失敗であり，API接続障害ではない．少数分母の率は参考値とする．</w:t>
      </w:r>
    </w:p>
    <w:p>
      <w:pPr>
        <w:keepNext/>
        <w:spacing w:before="100" w:after="60"/>
        <w:jc w:val="center"/>
      </w:pPr>
      <w:r>
        <w:rPr>
          <w:rFonts w:ascii="IPAexMincho" w:hAnsi="IPAexMincho" w:eastAsia="IPAexMincho" w:cs="IPAexMincho"/>
          <w:b w:val="0"/>
          <w:color w:val="000000"/>
          <w:sz w:val="22"/>
        </w:rPr>
        <w:t>表3　FとDの救済対象（初期失敗545組）</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077"/>
        <w:gridCol w:w="1077"/>
        <w:gridCol w:w="1077"/>
        <w:gridCol w:w="1502"/>
      </w:tblGrid>
      <w:tr>
        <w:trPr>
          <w:cantSplit/>
        </w:trPr>
        <w:tc>
          <w:tcPr>
            <w:tcW w:type="dxa" w:w="1077"/>
            <w:tcBorders>
              <w:top w:val="single" w:sz="4"/>
              <w:bottom w:val="single" w:sz="4"/>
            </w:tcBorders>
          </w:tcPr>
          <w:p>
            <w:pPr>
              <w:keepNext/>
              <w:jc w:val="left"/>
            </w:pPr>
            <w:r>
              <w:rPr>
                <w:rFonts w:ascii="IPAexMincho" w:hAnsi="IPAexMincho" w:eastAsia="IPAexMincho" w:cs="IPAexMincho"/>
                <w:b w:val="0"/>
                <w:color w:val="000000"/>
                <w:sz w:val="22"/>
              </w:rPr>
              <w:t>共通</w:t>
            </w:r>
          </w:p>
        </w:tc>
        <w:tc>
          <w:tcPr>
            <w:tcW w:type="dxa" w:w="1077"/>
            <w:tcBorders>
              <w:top w:val="single" w:sz="4"/>
              <w:bottom w:val="single" w:sz="4"/>
            </w:tcBorders>
          </w:tcPr>
          <w:p>
            <w:pPr>
              <w:keepNext/>
              <w:jc w:val="right"/>
            </w:pPr>
            <w:r>
              <w:rPr>
                <w:rFonts w:ascii="IPAexMincho" w:hAnsi="IPAexMincho" w:eastAsia="IPAexMincho" w:cs="IPAexMincho"/>
                <w:b w:val="0"/>
                <w:color w:val="000000"/>
                <w:sz w:val="22"/>
              </w:rPr>
              <w:t>Fのみ</w:t>
            </w:r>
          </w:p>
        </w:tc>
        <w:tc>
          <w:tcPr>
            <w:tcW w:type="dxa" w:w="1077"/>
            <w:tcBorders>
              <w:top w:val="single" w:sz="4"/>
              <w:bottom w:val="single" w:sz="4"/>
            </w:tcBorders>
          </w:tcPr>
          <w:p>
            <w:pPr>
              <w:keepNext/>
              <w:jc w:val="right"/>
            </w:pPr>
            <w:r>
              <w:rPr>
                <w:rFonts w:ascii="IPAexMincho" w:hAnsi="IPAexMincho" w:eastAsia="IPAexMincho" w:cs="IPAexMincho"/>
                <w:b w:val="0"/>
                <w:color w:val="000000"/>
                <w:sz w:val="22"/>
              </w:rPr>
              <w:t>Dのみ</w:t>
            </w:r>
          </w:p>
        </w:tc>
        <w:tc>
          <w:tcPr>
            <w:tcW w:type="dxa" w:w="1502"/>
            <w:tcBorders>
              <w:top w:val="single" w:sz="4"/>
              <w:bottom w:val="single" w:sz="4"/>
            </w:tcBorders>
          </w:tcPr>
          <w:p>
            <w:pPr>
              <w:keepNext/>
              <w:jc w:val="right"/>
            </w:pPr>
            <w:r>
              <w:rPr>
                <w:rFonts w:ascii="IPAexMincho" w:hAnsi="IPAexMincho" w:eastAsia="IPAexMincho" w:cs="IPAexMincho"/>
                <w:b w:val="0"/>
                <w:color w:val="000000"/>
                <w:sz w:val="22"/>
              </w:rPr>
              <w:t>双方未救済</w:t>
            </w:r>
          </w:p>
        </w:tc>
      </w:tr>
      <w:tr>
        <w:trPr>
          <w:cantSplit/>
        </w:trPr>
        <w:tc>
          <w:tcPr>
            <w:tcW w:type="dxa" w:w="1077"/>
            <w:tcBorders>
              <w:bottom w:val="single" w:sz="4"/>
            </w:tcBorders>
          </w:tcPr>
          <w:p>
            <w:pPr>
              <w:keepNext w:val="0"/>
              <w:jc w:val="left"/>
            </w:pPr>
            <w:r>
              <w:rPr>
                <w:rFonts w:ascii="IPAexMincho" w:hAnsi="IPAexMincho" w:eastAsia="IPAexMincho" w:cs="IPAexMincho"/>
                <w:b w:val="0"/>
                <w:color w:val="000000"/>
                <w:sz w:val="22"/>
              </w:rPr>
              <w:t>140</w:t>
            </w:r>
          </w:p>
        </w:tc>
        <w:tc>
          <w:tcPr>
            <w:tcW w:type="dxa" w:w="1077"/>
            <w:tcBorders>
              <w:bottom w:val="single" w:sz="4"/>
            </w:tcBorders>
          </w:tcPr>
          <w:p>
            <w:pPr>
              <w:keepNext w:val="0"/>
              <w:jc w:val="right"/>
            </w:pPr>
            <w:r>
              <w:rPr>
                <w:rFonts w:ascii="IPAexMincho" w:hAnsi="IPAexMincho" w:eastAsia="IPAexMincho" w:cs="IPAexMincho"/>
                <w:b w:val="0"/>
                <w:color w:val="000000"/>
                <w:sz w:val="22"/>
              </w:rPr>
              <w:t>43</w:t>
            </w:r>
          </w:p>
        </w:tc>
        <w:tc>
          <w:tcPr>
            <w:tcW w:type="dxa" w:w="1077"/>
            <w:tcBorders>
              <w:bottom w:val="single" w:sz="4"/>
            </w:tcBorders>
          </w:tcPr>
          <w:p>
            <w:pPr>
              <w:keepNext w:val="0"/>
              <w:jc w:val="right"/>
            </w:pPr>
            <w:r>
              <w:rPr>
                <w:rFonts w:ascii="IPAexMincho" w:hAnsi="IPAexMincho" w:eastAsia="IPAexMincho" w:cs="IPAexMincho"/>
                <w:b w:val="0"/>
                <w:color w:val="000000"/>
                <w:sz w:val="22"/>
              </w:rPr>
              <w:t>40</w:t>
            </w:r>
          </w:p>
        </w:tc>
        <w:tc>
          <w:tcPr>
            <w:tcW w:type="dxa" w:w="1502"/>
            <w:tcBorders>
              <w:bottom w:val="single" w:sz="4"/>
            </w:tcBorders>
          </w:tcPr>
          <w:p>
            <w:pPr>
              <w:keepNext w:val="0"/>
              <w:jc w:val="right"/>
            </w:pPr>
            <w:r>
              <w:rPr>
                <w:rFonts w:ascii="IPAexMincho" w:hAnsi="IPAexMincho" w:eastAsia="IPAexMincho" w:cs="IPAexMincho"/>
                <w:b w:val="0"/>
                <w:color w:val="000000"/>
                <w:sz w:val="22"/>
              </w:rPr>
              <w:t>322</w:t>
            </w:r>
          </w:p>
        </w:tc>
      </w:tr>
    </w:tbl>
    <w:p>
      <w:pPr>
        <w:pageBreakBefore/>
        <w:ind w:firstLine="220"/>
        <w:jc w:val="both"/>
      </w:pPr>
      <w:r>
        <w:rPr>
          <w:rFonts w:ascii="IPAexMincho" w:hAnsi="IPAexMincho" w:eastAsia="IPAexMincho" w:cs="IPAexMincho"/>
          <w:b w:val="0"/>
          <w:color w:val="000000"/>
          <w:sz w:val="22"/>
        </w:rPr>
        <w:t>FとDの全体の救済数は3組差だが，表3の片側のみ救済した83組では対象が異なる．import失敗はFのみ8組・Dのみ22組，回路構築失敗は19組・11組であった．83組すべての両条件166履歴・398修正遷移を静的に確認した．複数箇所が同時に変わるため，変更内容から救済原因は分離できない．少なくとも一方が救済した223/545組（40.9%）は事後的な集合であり，実行前の選択方策の成功率ではない．</w:t>
      </w:r>
    </w:p>
    <w:p>
      <w:pPr>
        <w:ind w:firstLine="220"/>
        <w:jc w:val="both"/>
      </w:pPr>
      <w:r>
        <w:rPr>
          <w:rFonts w:ascii="IPAexMincho" w:hAnsi="IPAexMincho" w:eastAsia="IPAexMincho" w:cs="IPAexMincho"/>
          <w:b w:val="0"/>
          <w:color w:val="000000"/>
          <w:sz w:val="22"/>
        </w:rPr>
        <w:t>救済側の履歴では，import/API関係の変更がFのみ28組・Dのみ34組，回路構築・インターフェース関係の変更が24組・32組に認められた（分類は重複可）．これは静的な変更分類であり，量子論理の訂正や各変更の因果的寄与を示すものではない．</w:t>
      </w:r>
    </w:p>
    <w:p>
      <w:pPr>
        <w:ind w:firstLine="220"/>
        <w:jc w:val="both"/>
      </w:pPr>
      <w:r>
        <w:rPr>
          <w:rFonts w:ascii="IPAexMincho" w:hAnsi="IPAexMincho" w:eastAsia="IPAexMincho" w:cs="IPAexMincho"/>
          <w:b w:val="0"/>
          <w:color w:val="000000"/>
          <w:sz w:val="22"/>
        </w:rPr>
        <w:t>PではBの初期失敗に対応する成功が124/545組（22.8%），初期成功に対応する失敗が106/455組（23.3%）で，最終成功は473/1,000組だった．独立生成の結果を同一コードの修正による救済と同じ作用とは解釈しない．</w:t>
      </w:r>
    </w:p>
    <w:p>
      <w:pPr>
        <w:ind w:firstLine="220"/>
        <w:jc w:val="both"/>
      </w:pPr>
      <w:r>
        <w:rPr>
          <w:rFonts w:ascii="IPAexMincho" w:hAnsi="IPAexMincho" w:eastAsia="IPAexMincho" w:cs="IPAexMincho"/>
          <w:b w:val="0"/>
          <w:color w:val="000000"/>
          <w:sz w:val="22"/>
        </w:rPr>
        <w:t>共有初期生成を除き，未救済例への消費も含めた追加入力・出力tokens／救済はR 18,852.6，F 9,333.8，D 10,976.6であった．保存記録と部分追試の再構成値であり，全件新実験の実測費用ではない．3回目はFで28/390組（7.2%），Dで33/398組（8.3%）を追加救済した．2回打切りでは3回で救済できた組の15.3%，18.3%をそれぞれ失う．これは同一履歴の打切り比較である．</w:t>
      </w:r>
    </w:p>
    <w:p>
      <w:pPr>
        <w:keepNext/>
        <w:spacing w:before="100" w:after="40"/>
      </w:pPr>
      <w:r>
        <w:rPr>
          <w:rFonts w:ascii="IPAexMincho" w:hAnsi="IPAexMincho" w:eastAsia="IPAexMincho" w:cs="IPAexMincho"/>
          <w:b/>
          <w:color w:val="000000"/>
          <w:sz w:val="22"/>
        </w:rPr>
        <w:t>5　考察</w:t>
      </w:r>
    </w:p>
    <w:p>
      <w:pPr>
        <w:ind w:firstLine="220"/>
        <w:jc w:val="both"/>
      </w:pPr>
      <w:r>
        <w:rPr>
          <w:rFonts w:ascii="IPAexMincho" w:hAnsi="IPAexMincho" w:eastAsia="IPAexMincho" w:cs="IPAexMincho"/>
          <w:b w:val="0"/>
          <w:color w:val="000000"/>
          <w:sz w:val="22"/>
        </w:rPr>
        <w:t>FとDの救済率が近くても救済対象は一致せず，初期失敗類型・モデルによって大小が変わった．介入カタログには全体率だけでなく，適用対象，失敗分母，追加消費を併記する必要がある．ただし，失敗類型はモデル・タスクと関連しており，この結果だけで介入選択規則を確定できない．</w:t>
      </w:r>
    </w:p>
    <w:p>
      <w:pPr>
        <w:ind w:firstLine="220"/>
        <w:jc w:val="both"/>
      </w:pPr>
      <w:r>
        <w:rPr>
          <w:rFonts w:ascii="IPAexMincho" w:hAnsi="IPAexMincho" w:eastAsia="IPAexMincho" w:cs="IPAexMincho"/>
          <w:b w:val="0"/>
          <w:color w:val="000000"/>
          <w:sz w:val="22"/>
        </w:rPr>
        <w:t>R/F/Dは最大3回の修正機会を持つ一方，B/Pは独立した1回生成であり，生成回数・投入情報が異なる．同じ要求回数の独立再生成対照もないため，介入の因果効果を断定しない．成功時停止，初期コード・タスク・seedの依存，元実験の診断文差もあり，5,000条件を独立標本として統計的有意差や一般的優劣を主張しない．指定入力の主L3，有限shots，未固定の測定乱数，生成上限も限界である．</w:t>
      </w:r>
    </w:p>
    <w:p>
      <w:pPr>
        <w:keepNext/>
        <w:spacing w:before="100" w:after="40"/>
      </w:pPr>
      <w:r>
        <w:rPr>
          <w:rFonts w:ascii="IPAexMincho" w:hAnsi="IPAexMincho" w:eastAsia="IPAexMincho" w:cs="IPAexMincho"/>
          <w:b/>
          <w:color w:val="000000"/>
          <w:sz w:val="22"/>
        </w:rPr>
        <w:t>6　おわりに</w:t>
      </w:r>
    </w:p>
    <w:p>
      <w:pPr>
        <w:ind w:firstLine="220"/>
        <w:jc w:val="both"/>
      </w:pPr>
      <w:r>
        <w:rPr>
          <w:rFonts w:ascii="IPAexMincho" w:hAnsi="IPAexMincho" w:eastAsia="IPAexMincho" w:cs="IPAexMincho"/>
          <w:b w:val="0"/>
          <w:color w:val="000000"/>
          <w:sz w:val="22"/>
        </w:rPr>
        <w:t>初期失敗545組に対し，Fは33.6%，Dは33.0%を救済したが，片側のみ救済した83組の内訳は異なった．この違いを介入カタログの根拠として整理した．今後は介入選択・停止方策を事前固定し，要求回数をそろえた独立再生成対照と別seed・タスクによる検証を行う．</w:t>
      </w:r>
    </w:p>
    <w:p>
      <w:pPr>
        <w:keepNext/>
        <w:spacing w:before="100"/>
      </w:pPr>
      <w:r>
        <w:rPr>
          <w:rFonts w:ascii="IPAexMincho" w:hAnsi="IPAexMincho" w:eastAsia="IPAexMincho" w:cs="IPAexMincho"/>
          <w:b/>
          <w:color w:val="000000"/>
          <w:sz w:val="22"/>
        </w:rPr>
        <w:t>参考文献</w:t>
      </w:r>
    </w:p>
    <w:p>
      <w:pPr>
        <w:ind w:left="300" w:hanging="300"/>
      </w:pPr>
      <w:r>
        <w:rPr>
          <w:rFonts w:ascii="IPAexMincho" w:hAnsi="IPAexMincho" w:eastAsia="IPAexMincho" w:cs="IPAexMincho"/>
          <w:b w:val="0"/>
          <w:color w:val="000000"/>
          <w:sz w:val="22"/>
        </w:rPr>
        <w:t>［1］A. Madaan et al.：Self-Refine: Iterative Refinement with Self-Feedback，arXiv:2303.17651（2023）．</w:t>
      </w:r>
    </w:p>
    <w:p>
      <w:pPr>
        <w:ind w:left="300" w:hanging="300"/>
      </w:pPr>
      <w:r>
        <w:rPr>
          <w:rFonts w:ascii="IPAexMincho" w:hAnsi="IPAexMincho" w:eastAsia="IPAexMincho" w:cs="IPAexMincho"/>
          <w:b w:val="0"/>
          <w:color w:val="000000"/>
          <w:sz w:val="22"/>
        </w:rPr>
        <w:t>［2］X. Chen et al.：Teaching Large Language Models to Self-Debug，arXiv:2304.05128（2023）．</w:t>
      </w:r>
    </w:p>
    <w:p>
      <w:pPr>
        <w:ind w:left="300" w:hanging="300"/>
      </w:pPr>
      <w:r>
        <w:rPr>
          <w:rFonts w:ascii="IPAexMincho" w:hAnsi="IPAexMincho" w:eastAsia="IPAexMincho" w:cs="IPAexMincho"/>
          <w:b w:val="0"/>
          <w:color w:val="000000"/>
          <w:sz w:val="22"/>
        </w:rPr>
        <w:t>［3］現行到達経路の固定集計・保存設定・出典hash（2026-10-16版）．本原稿READMEに出典と検証記録を示す．</w:t>
      </w:r>
    </w:p>
    <w:p>
      <w:pPr>
        <w:sectPr>
          <w:type w:val="continuous"/>
          <w:pgSz w:w="11906" w:h="16838"/>
          <w:pgMar w:top="1020" w:right="1020" w:bottom="1361" w:left="1020" w:header="720" w:footer="680" w:gutter="0"/>
          <w:cols w:space="397" w:num="2"/>
          <w:docGrid w:linePitch="360"/>
        </w:sectPr>
      </w:pPr>
    </w:p>
    <w:sectPr w:rsidR="00FC693F" w:rsidRPr="0006063C" w:rsidSect="00034616">
      <w:type w:val="continuous"/>
      <w:pgSz w:w="11906" w:h="16838"/>
      <w:pgMar w:top="1020" w:right="1020" w:bottom="1361" w:left="1020" w:header="720" w:footer="680" w:gutter="0"/>
      <w:cols w:space="397"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IPAexMincho" w:hAnsi="IPAexMincho" w:eastAsia="IPAexMincho" w:cs="IPAexMincho"/>
          <w:b w:val="0"/>
          <w:color w:val="000000"/>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0" w:lineRule="exact" w:after="0" w:before="0"/>
    </w:pPr>
    <w:rPr>
      <w:rFonts w:ascii="IPAexMincho" w:hAnsi="IPAexMincho" w:eastAsia="IPAex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generated by python-docx</dc:description>
  <cp:lastModifiedBy/>
  <cp:revision>1</cp:revision>
  <dcterms:created xsi:type="dcterms:W3CDTF">2013-12-23T23:15:00Z</dcterms:created>
  <dcterms:modified xsi:type="dcterms:W3CDTF">2013-12-23T23:15:00Z</dcterms:modified>
  <cp:category/>
</cp:coreProperties>
</file>