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="Microsoft YaHei"/>
          <w:b/>
          <w:color w:val="1F3A5F"/>
          <w:sz w:val="44"/>
        </w:rPr>
        <w:t>量子计算产业链梳理</w:t>
      </w:r>
    </w:p>
    <w:p>
      <w:r>
        <w:rPr>
          <w:rFonts w:eastAsia="Microsoft YaHei"/>
          <w:b w:val="0"/>
          <w:color w:val="666666"/>
          <w:sz w:val="20"/>
        </w:rPr>
        <w:t>2026年5月 · 六大技术路线 · 30+ A股标的 · 上游材料到下游应用</w:t>
      </w:r>
    </w:p>
    <w:p>
      <w:r>
        <w:rPr>
          <w:rFonts w:eastAsia="Microsoft YaHei"/>
          <w:b w:val="0"/>
          <w:color w:val="999999"/>
          <w:sz w:val="18"/>
        </w:rPr>
        <w:t>基于公开信息整理，不构成投资建议</w:t>
      </w:r>
    </w:p>
    <w:p/>
    <w:p>
      <w:pPr>
        <w:pStyle w:val="Heading1"/>
      </w:pPr>
      <w:r>
        <w:t>一、六大技术路线总览</w:t>
      </w:r>
    </w:p>
    <w:p>
      <w:r>
        <w:rPr>
          <w:rFonts w:eastAsia="Microsoft YaHei"/>
          <w:b w:val="0"/>
          <w:color w:val="333333"/>
          <w:sz w:val="19"/>
        </w:rPr>
        <w:t>实用化容错量子计算机预计还需10-15年。目前处于NISQ（含噪声中等规模量子）阶段，各路线并行发展，尚未统一。短期确定性最高的在上游材料与硬件。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269"/>
        <w:gridCol w:w="1903"/>
        <w:gridCol w:w="2538"/>
        <w:gridCol w:w="2855"/>
        <w:gridCol w:w="795"/>
      </w:tblGrid>
      <w:tr>
        <w:trPr/>
        <w:tc>
          <w:tcPr>
            <w:tcW w:type="dxa" w:w="1269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路线</w:t>
            </w:r>
          </w:p>
        </w:tc>
        <w:tc>
          <w:tcPr>
            <w:tcW w:type="dxa" w:w="1903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物理载体</w:t>
            </w:r>
          </w:p>
        </w:tc>
        <w:tc>
          <w:tcPr>
            <w:tcW w:type="dxa" w:w="2538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核心材料</w:t>
            </w:r>
          </w:p>
        </w:tc>
        <w:tc>
          <w:tcPr>
            <w:tcW w:type="dxa" w:w="2855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代表公司</w:t>
            </w:r>
          </w:p>
        </w:tc>
        <w:tc>
          <w:tcPr>
            <w:tcW w:type="dxa" w:w="795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成熟度</w:t>
            </w:r>
          </w:p>
        </w:tc>
      </w:tr>
      <w:tr>
        <w:trPr/>
        <w:tc>
          <w:tcPr>
            <w:tcW w:type="dxa" w:w="12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超导</w:t>
            </w:r>
          </w:p>
        </w:tc>
        <w:tc>
          <w:tcPr>
            <w:tcW w:type="dxa" w:w="190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约瑟夫森结</w:t>
            </w:r>
          </w:p>
        </w:tc>
        <w:tc>
          <w:tcPr>
            <w:tcW w:type="dxa" w:w="25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铝/铌+氧化铝</w:t>
            </w:r>
          </w:p>
        </w:tc>
        <w:tc>
          <w:tcPr>
            <w:tcW w:type="dxa" w:w="2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Google, IBM</w:t>
            </w:r>
          </w:p>
        </w:tc>
        <w:tc>
          <w:tcPr>
            <w:tcW w:type="dxa" w:w="7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高</w:t>
            </w:r>
          </w:p>
        </w:tc>
      </w:tr>
      <w:tr>
        <w:trPr/>
        <w:tc>
          <w:tcPr>
            <w:tcW w:type="dxa" w:w="12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离子阱</w:t>
            </w:r>
          </w:p>
        </w:tc>
        <w:tc>
          <w:tcPr>
            <w:tcW w:type="dxa" w:w="190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单离子</w:t>
            </w:r>
          </w:p>
        </w:tc>
        <w:tc>
          <w:tcPr>
            <w:tcW w:type="dxa" w:w="25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镱/钙+激光</w:t>
            </w:r>
          </w:p>
        </w:tc>
        <w:tc>
          <w:tcPr>
            <w:tcW w:type="dxa" w:w="2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IonQ, Quantinuum</w:t>
            </w:r>
          </w:p>
        </w:tc>
        <w:tc>
          <w:tcPr>
            <w:tcW w:type="dxa" w:w="7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高</w:t>
            </w:r>
          </w:p>
        </w:tc>
      </w:tr>
      <w:tr>
        <w:trPr/>
        <w:tc>
          <w:tcPr>
            <w:tcW w:type="dxa" w:w="12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硅自旋</w:t>
            </w:r>
          </w:p>
        </w:tc>
        <w:tc>
          <w:tcPr>
            <w:tcW w:type="dxa" w:w="190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单电子</w:t>
            </w:r>
          </w:p>
        </w:tc>
        <w:tc>
          <w:tcPr>
            <w:tcW w:type="dxa" w:w="25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高纯硅-28</w:t>
            </w:r>
          </w:p>
        </w:tc>
        <w:tc>
          <w:tcPr>
            <w:tcW w:type="dxa" w:w="2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Intel</w:t>
            </w:r>
          </w:p>
        </w:tc>
        <w:tc>
          <w:tcPr>
            <w:tcW w:type="dxa" w:w="7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中</w:t>
            </w:r>
          </w:p>
        </w:tc>
      </w:tr>
      <w:tr>
        <w:trPr/>
        <w:tc>
          <w:tcPr>
            <w:tcW w:type="dxa" w:w="12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拓扑</w:t>
            </w:r>
          </w:p>
        </w:tc>
        <w:tc>
          <w:tcPr>
            <w:tcW w:type="dxa" w:w="190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马约拉纳零模</w:t>
            </w:r>
          </w:p>
        </w:tc>
        <w:tc>
          <w:tcPr>
            <w:tcW w:type="dxa" w:w="25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InAs+铝</w:t>
            </w:r>
          </w:p>
        </w:tc>
        <w:tc>
          <w:tcPr>
            <w:tcW w:type="dxa" w:w="2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微软</w:t>
            </w:r>
          </w:p>
        </w:tc>
        <w:tc>
          <w:tcPr>
            <w:tcW w:type="dxa" w:w="7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低</w:t>
            </w:r>
          </w:p>
        </w:tc>
      </w:tr>
      <w:tr>
        <w:trPr/>
        <w:tc>
          <w:tcPr>
            <w:tcW w:type="dxa" w:w="12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光子</w:t>
            </w:r>
          </w:p>
        </w:tc>
        <w:tc>
          <w:tcPr>
            <w:tcW w:type="dxa" w:w="190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单光子</w:t>
            </w:r>
          </w:p>
        </w:tc>
        <w:tc>
          <w:tcPr>
            <w:tcW w:type="dxa" w:w="25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PPLN晶体</w:t>
            </w:r>
          </w:p>
        </w:tc>
        <w:tc>
          <w:tcPr>
            <w:tcW w:type="dxa" w:w="2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中科大, Xanadu</w:t>
            </w:r>
          </w:p>
        </w:tc>
        <w:tc>
          <w:tcPr>
            <w:tcW w:type="dxa" w:w="7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中</w:t>
            </w:r>
          </w:p>
        </w:tc>
      </w:tr>
      <w:tr>
        <w:trPr/>
        <w:tc>
          <w:tcPr>
            <w:tcW w:type="dxa" w:w="12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中性原子</w:t>
            </w:r>
          </w:p>
        </w:tc>
        <w:tc>
          <w:tcPr>
            <w:tcW w:type="dxa" w:w="190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铷/锶原子</w:t>
            </w:r>
          </w:p>
        </w:tc>
        <w:tc>
          <w:tcPr>
            <w:tcW w:type="dxa" w:w="25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激光+SLM</w:t>
            </w:r>
          </w:p>
        </w:tc>
        <w:tc>
          <w:tcPr>
            <w:tcW w:type="dxa" w:w="2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QuEra, Atom</w:t>
            </w:r>
          </w:p>
        </w:tc>
        <w:tc>
          <w:tcPr>
            <w:tcW w:type="dxa" w:w="7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中</w:t>
            </w:r>
          </w:p>
        </w:tc>
      </w:tr>
    </w:tbl>
    <w:p>
      <w:pPr>
        <w:pStyle w:val="Heading1"/>
      </w:pPr>
      <w:r>
        <w:t>二、产业链全景图</w:t>
      </w:r>
    </w:p>
    <w:p>
      <w:r>
        <w:rPr>
          <w:rFonts w:eastAsia="Microsoft YaHei"/>
          <w:b w:val="0"/>
          <w:color w:val="333333"/>
          <w:sz w:val="19"/>
        </w:rPr>
        <w:t>上游：核心材料与器件 — 超导材料、半导体材料、光学材料、极端环境设备、测控系统</w:t>
      </w:r>
    </w:p>
    <w:p>
      <w:r>
        <w:rPr>
          <w:rFonts w:eastAsia="Microsoft YaHei"/>
          <w:b w:val="0"/>
          <w:color w:val="333333"/>
          <w:sz w:val="19"/>
        </w:rPr>
        <w:t>中游：整机集成与软件 — 超导整机、离子阱/中性原子整机、光量子整机、量子云平台、编程框架</w:t>
      </w:r>
    </w:p>
    <w:p>
      <w:r>
        <w:rPr>
          <w:rFonts w:eastAsia="Microsoft YaHei"/>
          <w:b w:val="0"/>
          <w:color w:val="333333"/>
          <w:sz w:val="19"/>
        </w:rPr>
        <w:t>下游：行业应用 — 金融（组合优化）、医药（分子模拟）、材料（催化剂设计）、安全（后量子密码）、能源（电网优化）</w:t>
      </w:r>
    </w:p>
    <w:p>
      <w:pPr>
        <w:pStyle w:val="Heading1"/>
      </w:pPr>
      <w:r>
        <w:t>三、上游核心标的</w:t>
      </w:r>
    </w:p>
    <w:p>
      <w:pPr>
        <w:pStyle w:val="Heading2"/>
      </w:pPr>
      <w:r>
        <w:t>3.1 超导路线材料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公司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做什么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核心看点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西部超导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688122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铌钛/铌三锡超导线材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全球唯一NbTi全流程企业，量子业务占收入~15%增长50%，供应国盾+本源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豫光金铅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600531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高纯铌上游原料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布局高纯稀有金属，受益超导材料扩产对铌的需求拉动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东方钽业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000962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高纯钽靶材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超导电路辅助材料，溅射靶材国内份额第一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精达股份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600577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超导线材基体加工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为西部超导提供铜/银基体材料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联创光电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600363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高温超导带材REBCO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参股子公司专注二代高温超导带材</w:t>
            </w:r>
          </w:p>
        </w:tc>
      </w:tr>
    </w:tbl>
    <w:p>
      <w:pPr>
        <w:pStyle w:val="Heading2"/>
      </w:pPr>
      <w:r>
        <w:t>3.2 半导体/硅自旋路线材料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公司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做什么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核心看点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沪硅产业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688126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高纯硅片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国内300mm大硅片龙头，硅-28纯化技术储备中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立昂微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605358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高纯单晶硅片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硅基量子芯片衬底潜在供应商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天岳先进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688234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碳化硅衬底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宽禁带材料，量子器件高温高频环境候选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晶盛机电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300316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晶体生长设备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硅片/碳化硅衬底上游设备端</w:t>
            </w:r>
          </w:p>
        </w:tc>
      </w:tr>
    </w:tbl>
    <w:p>
      <w:pPr>
        <w:pStyle w:val="Heading2"/>
      </w:pPr>
      <w:r>
        <w:t>3.3 光量子路线材料（壁垒最高）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公司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做什么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核心看点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福晶科技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002222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LBO/BBO/KTP非线性晶体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全球LBO市占率&gt;50% BBO&gt;80%，九章核心供应商，毛利率48%+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光库科技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300620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量子延迟线/低损耗光源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量子业务营收占比&gt;20%，同比增长60%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腾景科技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688195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精密光学元件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量子光源/探测器需求驱动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华工科技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000988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量子点激光器芯片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国内唯一量产量子点激光器，单光子发射源</w:t>
            </w:r>
          </w:p>
        </w:tc>
      </w:tr>
    </w:tbl>
    <w:p>
      <w:pPr>
        <w:pStyle w:val="Heading2"/>
      </w:pPr>
      <w:r>
        <w:t>3.4 极端环境（制冷+屏蔽+真空）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公司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做什么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核心看点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禾信仪器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688622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稀释制冷机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收购量羲技术56%，国产替代Bluefors/Oxford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国盾量子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688027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稀释制冷机+测控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制冷机自研成功，量子计算收入1.2亿（+112%）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安泰科技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000969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磁屏蔽材料（μ合金）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量子芯片需屏蔽地磁场十万分之一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正海磁材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300224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永磁体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离子阱路线磁场阱需要高稳定性永磁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久吾高科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300631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氦气分离膜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从天然气分离氦气，制冷机消耗氦-3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杭氧股份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002430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低温压缩机/氦提取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量子实验室基建核心设备</w:t>
            </w:r>
          </w:p>
        </w:tc>
      </w:tr>
    </w:tbl>
    <w:p>
      <w:pPr>
        <w:pStyle w:val="Heading2"/>
      </w:pPr>
      <w:r>
        <w:t>3.5 测控系统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公司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做什么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核心看点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电科数字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600850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超导量子测控系统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央企背景，2025年量子测控业务同比增长55%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中国长城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000066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测控+整机双路线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离子阱+超导双路线，2027年目标100比特</w:t>
            </w:r>
          </w:p>
        </w:tc>
      </w:tr>
    </w:tbl>
    <w:p>
      <w:pPr>
        <w:pStyle w:val="Heading1"/>
      </w:pPr>
      <w:r>
        <w:t>四、中游核心标的</w:t>
      </w:r>
    </w:p>
    <w:p>
      <w:pPr>
        <w:pStyle w:val="Heading2"/>
      </w:pPr>
      <w:r>
        <w:t>4.1 整机集成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公司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做什么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核心看点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国盾量子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688027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超导整机（天衍-504）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国内第一比特数，已交付多台含海外出口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中科曙光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603019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量子-超算融合+云平台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参股本源量子~18%，营收+200%，云平台覆盖163国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中国长城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000066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离子阱+超导双路线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央企国家队，2027年目标100比特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亨通光电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600487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QKD专用光纤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2026年中标四川基地&gt;3亿</w:t>
            </w:r>
          </w:p>
        </w:tc>
      </w:tr>
    </w:tbl>
    <w:p>
      <w:pPr>
        <w:pStyle w:val="Heading2"/>
      </w:pPr>
      <w:r>
        <w:t>4.2 软件生态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公司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做什么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核心看点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科大国创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300520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量子编程框架（九章）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2025年量子软件营收超3亿，国内量子软件第一</w:t>
            </w:r>
          </w:p>
        </w:tc>
      </w:tr>
    </w:tbl>
    <w:p>
      <w:pPr>
        <w:pStyle w:val="Heading1"/>
      </w:pPr>
      <w:r>
        <w:t>五、下游应用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公司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做什么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核心看点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神州信息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000555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量子金融应用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风控/组合优化，2025年量子金融营收超2亿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电科网安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002268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抗量子密码/量子安全网关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政务及军工多场景落地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吉大正元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003029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后量子密码算法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标准制定参与方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格尔软件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603232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量子身份认证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加密防护产品线</w:t>
            </w:r>
          </w:p>
        </w:tc>
      </w:tr>
    </w:tbl>
    <w:p>
      <w:pPr>
        <w:pStyle w:val="Heading1"/>
      </w:pPr>
      <w:r>
        <w:t>六、参股与间接关联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531"/>
        <w:gridCol w:w="1191"/>
        <w:gridCol w:w="6638"/>
      </w:tblGrid>
      <w:tr>
        <w:trPr/>
        <w:tc>
          <w:tcPr>
            <w:tcW w:type="dxa" w:w="1531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公司</w:t>
            </w:r>
          </w:p>
        </w:tc>
        <w:tc>
          <w:tcPr>
            <w:tcW w:type="dxa" w:w="1191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</w:t>
            </w:r>
          </w:p>
        </w:tc>
        <w:tc>
          <w:tcPr>
            <w:tcW w:type="dxa" w:w="6638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关联方式</w:t>
            </w:r>
          </w:p>
        </w:tc>
      </w:tr>
      <w:tr>
        <w:trPr/>
        <w:tc>
          <w:tcPr>
            <w:tcW w:type="dxa" w:w="15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宏力达</w:t>
            </w:r>
          </w:p>
        </w:tc>
        <w:tc>
          <w:tcPr>
            <w:tcW w:type="dxa" w:w="1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688330</w:t>
            </w:r>
          </w:p>
        </w:tc>
        <w:tc>
          <w:tcPr>
            <w:tcW w:type="dxa" w:w="66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2025年直接入股本源量子</w:t>
            </w:r>
          </w:p>
        </w:tc>
      </w:tr>
      <w:tr>
        <w:trPr/>
        <w:tc>
          <w:tcPr>
            <w:tcW w:type="dxa" w:w="15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德美化工</w:t>
            </w:r>
          </w:p>
        </w:tc>
        <w:tc>
          <w:tcPr>
            <w:tcW w:type="dxa" w:w="1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002054</w:t>
            </w:r>
          </w:p>
        </w:tc>
        <w:tc>
          <w:tcPr>
            <w:tcW w:type="dxa" w:w="66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基金间接持股本源量子</w:t>
            </w:r>
          </w:p>
        </w:tc>
      </w:tr>
      <w:tr>
        <w:trPr/>
        <w:tc>
          <w:tcPr>
            <w:tcW w:type="dxa" w:w="15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博实股份</w:t>
            </w:r>
          </w:p>
        </w:tc>
        <w:tc>
          <w:tcPr>
            <w:tcW w:type="dxa" w:w="1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002698</w:t>
            </w:r>
          </w:p>
        </w:tc>
        <w:tc>
          <w:tcPr>
            <w:tcW w:type="dxa" w:w="66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持有本源量子股权</w:t>
            </w:r>
          </w:p>
        </w:tc>
      </w:tr>
      <w:tr>
        <w:trPr/>
        <w:tc>
          <w:tcPr>
            <w:tcW w:type="dxa" w:w="15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浙江东方</w:t>
            </w:r>
          </w:p>
        </w:tc>
        <w:tc>
          <w:tcPr>
            <w:tcW w:type="dxa" w:w="1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600120</w:t>
            </w:r>
          </w:p>
        </w:tc>
        <w:tc>
          <w:tcPr>
            <w:tcW w:type="dxa" w:w="66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基金投资国盾量子</w:t>
            </w:r>
          </w:p>
        </w:tc>
      </w:tr>
      <w:tr>
        <w:trPr/>
        <w:tc>
          <w:tcPr>
            <w:tcW w:type="dxa" w:w="15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铜牛信息</w:t>
            </w:r>
          </w:p>
        </w:tc>
        <w:tc>
          <w:tcPr>
            <w:tcW w:type="dxa" w:w="1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300895</w:t>
            </w:r>
          </w:p>
        </w:tc>
        <w:tc>
          <w:tcPr>
            <w:tcW w:type="dxa" w:w="66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北京量子信息科学研究院合作方</w:t>
            </w:r>
          </w:p>
        </w:tc>
      </w:tr>
      <w:tr>
        <w:trPr/>
        <w:tc>
          <w:tcPr>
            <w:tcW w:type="dxa" w:w="15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科华数据</w:t>
            </w:r>
          </w:p>
        </w:tc>
        <w:tc>
          <w:tcPr>
            <w:tcW w:type="dxa" w:w="1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002335</w:t>
            </w:r>
          </w:p>
        </w:tc>
        <w:tc>
          <w:tcPr>
            <w:tcW w:type="dxa" w:w="66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与玻色量子战略合作</w:t>
            </w:r>
          </w:p>
        </w:tc>
      </w:tr>
      <w:tr>
        <w:trPr/>
        <w:tc>
          <w:tcPr>
            <w:tcW w:type="dxa" w:w="15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复旦复华</w:t>
            </w:r>
          </w:p>
        </w:tc>
        <w:tc>
          <w:tcPr>
            <w:tcW w:type="dxa" w:w="1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600624</w:t>
            </w:r>
          </w:p>
        </w:tc>
        <w:tc>
          <w:tcPr>
            <w:tcW w:type="dxa" w:w="66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本源量子战略合作方</w:t>
            </w:r>
          </w:p>
        </w:tc>
      </w:tr>
      <w:tr>
        <w:trPr/>
        <w:tc>
          <w:tcPr>
            <w:tcW w:type="dxa" w:w="15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飞利信</w:t>
            </w:r>
          </w:p>
        </w:tc>
        <w:tc>
          <w:tcPr>
            <w:tcW w:type="dxa" w:w="1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300287</w:t>
            </w:r>
          </w:p>
        </w:tc>
        <w:tc>
          <w:tcPr>
            <w:tcW w:type="dxa" w:w="66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子公司与问天量子联合实验室</w:t>
            </w:r>
          </w:p>
        </w:tc>
      </w:tr>
    </w:tbl>
    <w:p>
      <w:pPr>
        <w:pStyle w:val="Heading1"/>
      </w:pPr>
      <w:r>
        <w:t>七、投资策略</w:t>
      </w:r>
    </w:p>
    <w:p>
      <w:pPr>
        <w:pStyle w:val="Heading2"/>
      </w:pPr>
      <w:r>
        <w:t>7.1 核心逻辑</w:t>
      </w:r>
    </w:p>
    <w:p>
      <w:r>
        <w:rPr>
          <w:rFonts w:eastAsia="Microsoft YaHei"/>
          <w:b w:val="0"/>
          <w:color w:val="333333"/>
          <w:sz w:val="19"/>
        </w:rPr>
        <w:t>量子计算产业正在从"纯概念"进入"有订单"阶段：国盾量子2025年量子计算收入1.2亿（+112%）；量羲技术稀释制冷机供不应求；西部超导量子业务增长50%；中科曙光量子业务增长200%。</w:t>
      </w:r>
    </w:p>
    <w:p>
      <w:r>
        <w:rPr>
          <w:rFonts w:eastAsia="Microsoft YaHei"/>
          <w:b w:val="0"/>
          <w:color w:val="333333"/>
          <w:sz w:val="19"/>
        </w:rPr>
        <w:t>第一驱动力：稀释制冷机国产化 → 每台从800-2000万元（进口）降至300-500万元（国产），交期从12-18个月缩至3-6个月 → 整机成本大幅下降 → 出货量爆发。</w:t>
      </w:r>
    </w:p>
    <w:p>
      <w:pPr>
        <w:pStyle w:val="Heading2"/>
      </w:pPr>
      <w:r>
        <w:t>7.2 三层标的优选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340"/>
        <w:gridCol w:w="2340"/>
        <w:gridCol w:w="4680"/>
      </w:tblGrid>
      <w:tr>
        <w:trPr/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层级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公司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逻辑</w:t>
            </w:r>
          </w:p>
        </w:tc>
      </w:tr>
      <w:tr>
        <w:trPr/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第一梯队（最高确定性）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西部超导、福晶科技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卡位超导和光量子两条主流路线的材料端，全球市占率领先，客户群明确，毛利率高</w:t>
            </w:r>
          </w:p>
        </w:tc>
      </w:tr>
      <w:tr>
        <w:trPr/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第二梯队（高弹性）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国盾量子、中科曙光、科大国创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整机+软件生态，收入增长最快，但估值较高，波动大</w:t>
            </w:r>
          </w:p>
        </w:tc>
      </w:tr>
      <w:tr>
        <w:trPr/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第三梯队（主题博弈）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安泰科技、久吾高科、禾信仪器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eastAsia="Microsoft YaHei"/>
                <w:sz w:val="18"/>
              </w:rPr>
              <w:t>"铲子股"，量子产业链扩产直接拉动，体量小弹性大</w:t>
            </w:r>
          </w:p>
        </w:tc>
      </w:tr>
    </w:tbl>
    <w:p>
      <w:pPr>
        <w:pStyle w:val="Heading2"/>
      </w:pPr>
      <w:r>
        <w:t>7.3 风险提示</w:t>
      </w:r>
    </w:p>
    <w:p>
      <w:r>
        <w:rPr>
          <w:rFonts w:eastAsia="Microsoft YaHei"/>
          <w:b w:val="0"/>
          <w:color w:val="333333"/>
          <w:sz w:val="19"/>
        </w:rPr>
        <w:t>技术路线不确定性：最终哪条路线胜出尚无定论，材料公司需覆盖多条路线</w:t>
      </w:r>
    </w:p>
    <w:p>
      <w:r>
        <w:rPr>
          <w:rFonts w:eastAsia="Microsoft YaHei"/>
          <w:b w:val="0"/>
          <w:color w:val="333333"/>
          <w:sz w:val="19"/>
        </w:rPr>
        <w:t>产业化时间漫长：实用化容错量子计算机预计还需10-15年，中途可能出现技术瓶颈</w:t>
      </w:r>
    </w:p>
    <w:p>
      <w:r>
        <w:rPr>
          <w:rFonts w:eastAsia="Microsoft YaHei"/>
          <w:b w:val="0"/>
          <w:color w:val="333333"/>
          <w:sz w:val="19"/>
        </w:rPr>
        <w:t>估值偏高：多数标的PE在30-50倍区间，依靠高增速消化</w:t>
      </w:r>
    </w:p>
    <w:p>
      <w:r>
        <w:rPr>
          <w:rFonts w:eastAsia="Microsoft YaHei"/>
          <w:b w:val="0"/>
          <w:color w:val="333333"/>
          <w:sz w:val="19"/>
        </w:rPr>
        <w:t>国际竞争：Google/IBM/IonQ在量子比特数和纠错进展上领先国内同行</w:t>
      </w:r>
    </w:p>
    <w:p>
      <w:r>
        <w:rPr>
          <w:rFonts w:eastAsia="Microsoft YaHei"/>
          <w:b w:val="0"/>
          <w:color w:val="333333"/>
          <w:sz w:val="19"/>
        </w:rPr>
        <w:t>政策风险：量子技术涉及国家安全，出口管制可能影响海外收入</w:t>
      </w:r>
    </w:p>
    <w:p>
      <w:pPr>
        <w:pStyle w:val="Heading2"/>
      </w:pPr>
      <w:r>
        <w:t>7.4 与其他主线的关系</w:t>
      </w:r>
    </w:p>
    <w:p>
      <w:r>
        <w:rPr>
          <w:rFonts w:eastAsia="Microsoft YaHei"/>
          <w:b w:val="0"/>
          <w:color w:val="333333"/>
          <w:sz w:val="19"/>
        </w:rPr>
        <w:t>量子计算与AI算力链（燃气轮机/电力设备）不是替代关系，而是算力形态的长期演进。短期（5-10年内）AI数据中心用电需求驱动燃气轮机和变压器需求确定；长期（10-15年）量子计算实用化将变革算力供给方式，但仍有巨大不确定性。A股目前没有同时覆盖两条逻辑的标的，属于两个独立赛道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cs="Calibri" w:eastAsia="Microsoft YaHe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9" w:lineRule="auto"/>
      <w:outlineLvl w:val="0"/>
    </w:pPr>
    <w:rPr>
      <w:rFonts w:ascii="Calibri" w:hAnsi="Calibri" w:cs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9" w:lineRule="auto"/>
      <w:outlineLvl w:val="1"/>
    </w:pPr>
    <w:rPr>
      <w:rFonts w:ascii="Calibri" w:hAnsi="Calibri" w:cs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69" w:lineRule="auto"/>
      <w:outlineLvl w:val="2"/>
    </w:pPr>
    <w:rPr>
      <w:rFonts w:ascii="Calibri" w:hAnsi="Calibri" w:cs="Calibri" w:eastAsia="Microsoft YaHei"/>
      <w:b/>
      <w:bCs/>
      <w:color w:val="1F4D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