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180F4"/>
    <w:p w14:paraId="1C493A03"/>
    <w:p w14:paraId="4232B497"/>
    <w:p w14:paraId="26899498">
      <w:pPr>
        <w:spacing w:before="0" w:after="40"/>
        <w:jc w:val="center"/>
      </w:pPr>
      <w:r>
        <w:rPr>
          <w:rFonts w:ascii="宋体" w:hAnsi="宋体" w:eastAsia="宋体"/>
          <w:b w:val="0"/>
          <w:color w:val="5B6470"/>
          <w:sz w:val="26"/>
        </w:rPr>
        <w:t>商业分析研究报告</w:t>
      </w:r>
    </w:p>
    <w:p w14:paraId="30CB6B7A">
      <w:pPr>
        <w:spacing w:before="0" w:after="480"/>
        <w:jc w:val="center"/>
      </w:pPr>
      <w:r>
        <w:rPr>
          <w:rFonts w:ascii="宋体" w:hAnsi="宋体" w:eastAsia="宋体"/>
          <w:b w:val="0"/>
          <w:color w:val="9AA0A6"/>
          <w:sz w:val="20"/>
        </w:rPr>
        <w:t>BA Product Analysis Report</w:t>
      </w:r>
    </w:p>
    <w:p w14:paraId="77A66928">
      <w:pPr>
        <w:spacing w:after="160"/>
        <w:jc w:val="center"/>
      </w:pPr>
      <w:r>
        <w:rPr>
          <w:rFonts w:ascii="黑体" w:hAnsi="黑体" w:eastAsia="黑体"/>
          <w:b/>
          <w:color w:val="1F2329"/>
          <w:sz w:val="44"/>
        </w:rPr>
        <w:t>“种”出来的交易</w:t>
      </w:r>
    </w:p>
    <w:p w14:paraId="655C29F6">
      <w:pPr>
        <w:spacing w:after="560"/>
        <w:jc w:val="center"/>
      </w:pPr>
      <w:r>
        <w:rPr>
          <w:rFonts w:ascii="黑体" w:hAnsi="黑体" w:eastAsia="黑体"/>
          <w:color w:val="333B43"/>
          <w:sz w:val="26"/>
        </w:rPr>
        <w:t>——支付宝芭芭农场的用户增长逻辑与行为经济学拆解</w:t>
      </w:r>
    </w:p>
    <w:p w14:paraId="52840CE3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撰 写 人：余可洁</w:t>
      </w:r>
    </w:p>
    <w:p w14:paraId="3B0EDF59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院    校：吉林大学　经济学专业（2024 级）</w:t>
      </w:r>
    </w:p>
    <w:p w14:paraId="7152B84C"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撰写日期：2026 年 8 月</w:t>
      </w:r>
    </w:p>
    <w:p w14:paraId="506040D3">
      <w:pPr>
        <w:spacing w:before="0" w:after="80"/>
        <w:jc w:val="center"/>
      </w:pPr>
      <w:r>
        <w:rPr>
          <w:rFonts w:ascii="宋体" w:hAnsi="宋体" w:eastAsia="宋体"/>
          <w:b w:val="0"/>
          <w:color w:val="5B6470"/>
          <w:sz w:val="21"/>
        </w:rPr>
        <w:t>分析视角：行为经济学 × 商业分析（问题定义 / 单位经济 / 归因 / 分群 / 受控实验）</w:t>
      </w:r>
    </w:p>
    <w:p w14:paraId="5B1C6009">
      <w:r>
        <w:br w:type="page"/>
      </w:r>
    </w:p>
    <w:p w14:paraId="3F829FD4">
      <w:pPr>
        <w:pStyle w:val="3"/>
        <w:keepNext/>
        <w:spacing w:before="360" w:after="160"/>
      </w:pPr>
      <w:bookmarkStart w:id="0" w:name="_Toc22870"/>
      <w:r>
        <w:rPr>
          <w:rFonts w:ascii="黑体" w:hAnsi="黑体" w:eastAsia="黑体"/>
          <w:b/>
          <w:color w:val="1F2329"/>
          <w:sz w:val="30"/>
        </w:rPr>
        <w:t>目录</w:t>
      </w:r>
      <w:bookmarkEnd w:id="0"/>
    </w:p>
    <w:p w14:paraId="7DCEF25F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_Toc22870 </w:instrText>
      </w:r>
      <w:r>
        <w:fldChar w:fldCharType="separate"/>
      </w:r>
      <w:r>
        <w:rPr>
          <w:rFonts w:ascii="黑体" w:hAnsi="黑体" w:eastAsia="黑体"/>
        </w:rPr>
        <w:t>目录</w:t>
      </w:r>
      <w:r>
        <w:tab/>
      </w:r>
      <w:r>
        <w:fldChar w:fldCharType="begin"/>
      </w:r>
      <w:r>
        <w:instrText xml:space="preserve"> PAGEREF _Toc22870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82FB7A1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_Toc25196 </w:instrText>
      </w:r>
      <w:r>
        <w:fldChar w:fldCharType="separate"/>
      </w:r>
      <w:r>
        <w:rPr>
          <w:rFonts w:ascii="黑体" w:hAnsi="黑体" w:eastAsia="黑体"/>
        </w:rPr>
        <w:t>摘要</w:t>
      </w:r>
      <w:r>
        <w:tab/>
      </w:r>
      <w:r>
        <w:fldChar w:fldCharType="begin"/>
      </w:r>
      <w:r>
        <w:instrText xml:space="preserve"> PAGEREF _Toc25196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417357D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_Toc32314 </w:instrText>
      </w:r>
      <w:r>
        <w:fldChar w:fldCharType="separate"/>
      </w:r>
      <w:r>
        <w:rPr>
          <w:rFonts w:ascii="黑体" w:hAnsi="黑体" w:eastAsia="黑体"/>
        </w:rPr>
        <w:t>一、业务问题定义</w:t>
      </w:r>
      <w:r>
        <w:tab/>
      </w:r>
      <w:r>
        <w:fldChar w:fldCharType="begin"/>
      </w:r>
      <w:r>
        <w:instrText xml:space="preserve"> PAGEREF _Toc32314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22A9A1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_Toc10449 </w:instrText>
      </w:r>
      <w:r>
        <w:fldChar w:fldCharType="separate"/>
      </w:r>
      <w:r>
        <w:rPr>
          <w:rFonts w:ascii="黑体" w:hAnsi="黑体" w:eastAsia="黑体"/>
        </w:rPr>
        <w:t>二、宏观前提：时间贬值与注意力经济</w:t>
      </w:r>
      <w:r>
        <w:tab/>
      </w:r>
      <w:r>
        <w:fldChar w:fldCharType="begin"/>
      </w:r>
      <w:r>
        <w:instrText xml:space="preserve"> PAGEREF _Toc10449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21FC5C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_Toc1395 </w:instrText>
      </w:r>
      <w:r>
        <w:fldChar w:fldCharType="separate"/>
      </w:r>
      <w:r>
        <w:rPr>
          <w:rFonts w:ascii="黑体" w:hAnsi="黑体" w:eastAsia="黑体"/>
        </w:rPr>
        <w:t>三、生态闭环框架：肥料即跨 APP 注意力货币</w:t>
      </w:r>
      <w:r>
        <w:tab/>
      </w:r>
      <w:r>
        <w:fldChar w:fldCharType="begin"/>
      </w:r>
      <w:r>
        <w:instrText xml:space="preserve"> PAGEREF _Toc1395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52580A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_Toc5896 </w:instrText>
      </w:r>
      <w:r>
        <w:fldChar w:fldCharType="separate"/>
      </w:r>
      <w:r>
        <w:rPr>
          <w:rFonts w:ascii="黑体" w:hAnsi="黑体" w:eastAsia="黑体"/>
        </w:rPr>
        <w:t>四、行为经济学透镜</w:t>
      </w:r>
      <w:r>
        <w:tab/>
      </w:r>
      <w:r>
        <w:fldChar w:fldCharType="begin"/>
      </w:r>
      <w:r>
        <w:instrText xml:space="preserve"> PAGEREF _Toc5896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34335D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_Toc30157 </w:instrText>
      </w:r>
      <w:r>
        <w:fldChar w:fldCharType="separate"/>
      </w:r>
      <w:r>
        <w:rPr>
          <w:rFonts w:ascii="黑体" w:hAnsi="黑体" w:eastAsia="黑体"/>
        </w:rPr>
        <w:t>五、机制拆解与分群漏斗</w:t>
      </w:r>
      <w:r>
        <w:tab/>
      </w:r>
      <w:r>
        <w:fldChar w:fldCharType="begin"/>
      </w:r>
      <w:r>
        <w:instrText xml:space="preserve"> PAGEREF _Toc30157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CDBD039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_Toc16677 </w:instrText>
      </w:r>
      <w:r>
        <w:fldChar w:fldCharType="separate"/>
      </w:r>
      <w:r>
        <w:rPr>
          <w:rFonts w:ascii="黑体" w:hAnsi="黑体" w:eastAsia="黑体"/>
        </w:rPr>
        <w:t>六、指标体系</w:t>
      </w:r>
      <w:r>
        <w:tab/>
      </w:r>
      <w:r>
        <w:fldChar w:fldCharType="begin"/>
      </w:r>
      <w:r>
        <w:instrText xml:space="preserve"> PAGEREF _Toc16677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D62C598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_Toc406 </w:instrText>
      </w:r>
      <w:r>
        <w:fldChar w:fldCharType="separate"/>
      </w:r>
      <w:r>
        <w:rPr>
          <w:rFonts w:ascii="黑体" w:hAnsi="黑体" w:eastAsia="黑体"/>
        </w:rPr>
        <w:t>七、单位经济与归因难题</w:t>
      </w:r>
      <w:r>
        <w:tab/>
      </w:r>
      <w:r>
        <w:fldChar w:fldCharType="begin"/>
      </w:r>
      <w:r>
        <w:instrText xml:space="preserve"> PAGEREF _Toc406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8F4D0F7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_Toc3208 </w:instrText>
      </w:r>
      <w:r>
        <w:fldChar w:fldCharType="separate"/>
      </w:r>
      <w:r>
        <w:rPr>
          <w:rFonts w:ascii="黑体" w:hAnsi="黑体" w:eastAsia="黑体"/>
        </w:rPr>
        <w:t>7.1 单券单位经济（转化型用户）</w:t>
      </w:r>
      <w:r>
        <w:tab/>
      </w:r>
      <w:r>
        <w:fldChar w:fldCharType="begin"/>
      </w:r>
      <w:r>
        <w:instrText xml:space="preserve"> PAGEREF _Toc3208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825FF97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_Toc11221 </w:instrText>
      </w:r>
      <w:r>
        <w:fldChar w:fldCharType="separate"/>
      </w:r>
      <w:r>
        <w:rPr>
          <w:rFonts w:ascii="黑体" w:hAnsi="黑体" w:eastAsia="黑体"/>
        </w:rPr>
        <w:t>7.2 归因难题：这 GMV 真的是增量吗</w:t>
      </w:r>
      <w:r>
        <w:tab/>
      </w:r>
      <w:r>
        <w:fldChar w:fldCharType="begin"/>
      </w:r>
      <w:r>
        <w:instrText xml:space="preserve"> PAGEREF _Toc11221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4E65100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_Toc24245 </w:instrText>
      </w:r>
      <w:r>
        <w:fldChar w:fldCharType="separate"/>
      </w:r>
      <w:r>
        <w:rPr>
          <w:rFonts w:ascii="黑体" w:hAnsi="黑体" w:eastAsia="黑体"/>
        </w:rPr>
        <w:t>7.3 分群单位经济：两群算法不同</w:t>
      </w:r>
      <w:r>
        <w:tab/>
      </w:r>
      <w:r>
        <w:fldChar w:fldCharType="begin"/>
      </w:r>
      <w:r>
        <w:instrText xml:space="preserve"> PAGEREF _Toc24245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36173F6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_Toc24620 </w:instrText>
      </w:r>
      <w:r>
        <w:fldChar w:fldCharType="separate"/>
      </w:r>
      <w:r>
        <w:rPr>
          <w:rFonts w:ascii="黑体" w:hAnsi="黑体" w:eastAsia="黑体"/>
        </w:rPr>
        <w:t>7.4 资源位机会成本：算自己赚不赚，还要算是不是比放别的更赚</w:t>
      </w:r>
      <w:r>
        <w:tab/>
      </w:r>
      <w:r>
        <w:fldChar w:fldCharType="begin"/>
      </w:r>
      <w:r>
        <w:instrText xml:space="preserve"> PAGEREF _Toc24620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72ACB61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_Toc26674 </w:instrText>
      </w:r>
      <w:r>
        <w:fldChar w:fldCharType="separate"/>
      </w:r>
      <w:r>
        <w:rPr>
          <w:rFonts w:ascii="黑体" w:hAnsi="黑体" w:eastAsia="黑体"/>
        </w:rPr>
        <w:t>八、分群策略与状态流转</w:t>
      </w:r>
      <w:r>
        <w:tab/>
      </w:r>
      <w:r>
        <w:fldChar w:fldCharType="begin"/>
      </w:r>
      <w:r>
        <w:instrText xml:space="preserve"> PAGEREF _Toc26674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C2EBC3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_Toc23248 </w:instrText>
      </w:r>
      <w:r>
        <w:fldChar w:fldCharType="separate"/>
      </w:r>
      <w:r>
        <w:rPr>
          <w:rFonts w:ascii="黑体" w:hAnsi="黑体" w:eastAsia="黑体"/>
        </w:rPr>
        <w:t>8.1 留存型用户（多数）</w:t>
      </w:r>
      <w:r>
        <w:tab/>
      </w:r>
      <w:r>
        <w:fldChar w:fldCharType="begin"/>
      </w:r>
      <w:r>
        <w:instrText xml:space="preserve"> PAGEREF _Toc23248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7B6E833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_Toc4890 </w:instrText>
      </w:r>
      <w:r>
        <w:fldChar w:fldCharType="separate"/>
      </w:r>
      <w:r>
        <w:rPr>
          <w:rFonts w:ascii="黑体" w:hAnsi="黑体" w:eastAsia="黑体"/>
        </w:rPr>
        <w:t>8.2 转化型用户（少数）</w:t>
      </w:r>
      <w:r>
        <w:tab/>
      </w:r>
      <w:r>
        <w:fldChar w:fldCharType="begin"/>
      </w:r>
      <w:r>
        <w:instrText xml:space="preserve"> PAGEREF _Toc4890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2389F60">
      <w:pPr>
        <w:pStyle w:val="29"/>
        <w:tabs>
          <w:tab w:val="right" w:leader="dot" w:pos="8640"/>
        </w:tabs>
      </w:pPr>
      <w:r>
        <w:fldChar w:fldCharType="begin"/>
      </w:r>
      <w:r>
        <w:instrText xml:space="preserve"> HYPERLINK \l _Toc26939 </w:instrText>
      </w:r>
      <w:r>
        <w:fldChar w:fldCharType="separate"/>
      </w:r>
      <w:r>
        <w:rPr>
          <w:rFonts w:ascii="黑体" w:hAnsi="黑体" w:eastAsia="黑体"/>
        </w:rPr>
        <w:t>8.3 用户状态流转与阈值的动态调节</w:t>
      </w:r>
      <w:r>
        <w:tab/>
      </w:r>
      <w:r>
        <w:fldChar w:fldCharType="begin"/>
      </w:r>
      <w:r>
        <w:instrText xml:space="preserve"> PAGEREF _Toc26939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B2B8DA9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_Toc7046 </w:instrText>
      </w:r>
      <w:r>
        <w:fldChar w:fldCharType="separate"/>
      </w:r>
      <w:r>
        <w:rPr>
          <w:rFonts w:ascii="黑体" w:hAnsi="黑体" w:eastAsia="黑体"/>
        </w:rPr>
        <w:t>九、问题洞察：被理论预言的流失悬崖</w:t>
      </w:r>
      <w:r>
        <w:tab/>
      </w:r>
      <w:r>
        <w:fldChar w:fldCharType="begin"/>
      </w:r>
      <w:r>
        <w:instrText xml:space="preserve"> PAGEREF _Toc7046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32FAD81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_Toc4491 </w:instrText>
      </w:r>
      <w:r>
        <w:fldChar w:fldCharType="separate"/>
      </w:r>
      <w:r>
        <w:rPr>
          <w:rFonts w:ascii="黑体" w:hAnsi="黑体" w:eastAsia="黑体"/>
        </w:rPr>
        <w:t>十、优化建议：一个带代价的判断</w:t>
      </w:r>
      <w:r>
        <w:tab/>
      </w:r>
      <w:r>
        <w:fldChar w:fldCharType="begin"/>
      </w:r>
      <w:r>
        <w:instrText xml:space="preserve"> PAGEREF _Toc4491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06CF24A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_Toc18426 </w:instrText>
      </w:r>
      <w:r>
        <w:fldChar w:fldCharType="separate"/>
      </w:r>
      <w:r>
        <w:rPr>
          <w:rFonts w:ascii="黑体" w:hAnsi="黑体" w:eastAsia="黑体"/>
        </w:rPr>
        <w:t>十一、A/B 与归因实验设计</w:t>
      </w:r>
      <w:r>
        <w:tab/>
      </w:r>
      <w:r>
        <w:fldChar w:fldCharType="begin"/>
      </w:r>
      <w:r>
        <w:instrText xml:space="preserve"> PAGEREF _Toc18426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4FFF707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_Toc23972 </w:instrText>
      </w:r>
      <w:r>
        <w:fldChar w:fldCharType="separate"/>
      </w:r>
      <w:r>
        <w:rPr>
          <w:rFonts w:ascii="黑体" w:hAnsi="黑体" w:eastAsia="黑体"/>
        </w:rPr>
        <w:t>十二、结论</w:t>
      </w:r>
      <w:r>
        <w:tab/>
      </w:r>
      <w:r>
        <w:fldChar w:fldCharType="begin"/>
      </w:r>
      <w:r>
        <w:instrText xml:space="preserve"> PAGEREF _Toc23972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FFD4349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_Toc10869 </w:instrText>
      </w:r>
      <w:r>
        <w:fldChar w:fldCharType="separate"/>
      </w:r>
      <w:r>
        <w:rPr>
          <w:rFonts w:ascii="黑体" w:hAnsi="黑体" w:eastAsia="黑体"/>
        </w:rPr>
        <w:t>附录 A　方法论与局限性</w:t>
      </w:r>
      <w:r>
        <w:tab/>
      </w:r>
      <w:r>
        <w:fldChar w:fldCharType="begin"/>
      </w:r>
      <w:r>
        <w:instrText xml:space="preserve"> PAGEREF _Toc10869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1E907F3">
      <w:pPr>
        <w:pStyle w:val="26"/>
        <w:tabs>
          <w:tab w:val="right" w:leader="dot" w:pos="8640"/>
        </w:tabs>
      </w:pPr>
      <w:r>
        <w:fldChar w:fldCharType="begin"/>
      </w:r>
      <w:r>
        <w:instrText xml:space="preserve"> HYPERLINK \l _Toc12427 </w:instrText>
      </w:r>
      <w:r>
        <w:fldChar w:fldCharType="separate"/>
      </w:r>
      <w:r>
        <w:rPr>
          <w:rFonts w:ascii="黑体" w:hAnsi="黑体" w:eastAsia="黑体"/>
        </w:rPr>
        <w:t>附录 B　参考文献</w:t>
      </w:r>
      <w:r>
        <w:tab/>
      </w:r>
      <w:r>
        <w:fldChar w:fldCharType="begin"/>
      </w:r>
      <w:r>
        <w:instrText xml:space="preserve"> PAGEREF _Toc12427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CD9D76D">
      <w:r>
        <w:fldChar w:fldCharType="end"/>
      </w:r>
    </w:p>
    <w:p w14:paraId="00B04F96">
      <w:r>
        <w:br w:type="page"/>
      </w:r>
    </w:p>
    <w:p w14:paraId="6712F633">
      <w:pPr>
        <w:pStyle w:val="3"/>
        <w:keepNext/>
        <w:spacing w:before="360" w:after="160"/>
      </w:pPr>
      <w:bookmarkStart w:id="1" w:name="_Toc25196"/>
      <w:r>
        <w:rPr>
          <w:rFonts w:ascii="黑体" w:hAnsi="黑体" w:eastAsia="黑体"/>
          <w:b/>
          <w:color w:val="1F2329"/>
          <w:sz w:val="30"/>
        </w:rPr>
        <w:t>摘要</w:t>
      </w:r>
      <w:bookmarkEnd w:id="1"/>
    </w:p>
    <w:p w14:paraId="1340AF34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是支付宝/淘宝体系内的游戏化用户转化引擎：用户通过浇水、施肥、签到、浏览商品等动作积累阳光/肥料，换取优惠券、折扣与红包，并在淘宝/支付宝完成下单。本文以行为经济学为分析透镜，用商业分析方法将其拆解为“问题定义—单位经济—归因—分群—受控实验”的闭环框架。研究发现：芭芭农场的本质是一个用边际成本趋近于零的虚拟货币（肥料）归集跨 APP 碎片化时间、再外溢变现的注意力做市商；其全部经济性建立在用户时间机会成本趋近于零的前提上；留存与转化的真实分界不在水果与券之间，而在商品兑换门槛上。基于分群单位经济与归因难题，本文给出一个有条件的策略判断（Bet）：仅当把 GMV 拉回模块内所获转化标签的 LTV 增量大于额外补贴成本、且模块总价值跑赢资源位 RPM 时，才下调商品兑换门槛。所有结论均标注假设与局限，可由受控实验证伪。</w:t>
      </w:r>
    </w:p>
    <w:p w14:paraId="1DAEFC94">
      <w:pPr>
        <w:spacing w:before="80" w:after="120"/>
      </w:pPr>
      <w:r>
        <w:rPr>
          <w:rFonts w:ascii="宋体" w:hAnsi="宋体" w:eastAsia="宋体"/>
          <w:b/>
          <w:sz w:val="21"/>
        </w:rPr>
        <w:t>关键词：芭芭农场；游戏化激励；行为经济学；单位经济；增量归因；用户分群；注意力经济</w:t>
      </w:r>
    </w:p>
    <w:p w14:paraId="59C50552">
      <w:pPr>
        <w:shd w:val="clear" w:color="auto" w:fill="EAF2FF"/>
        <w:spacing w:before="160" w:after="160"/>
      </w:pPr>
      <w:r>
        <w:rPr>
          <w:rFonts w:ascii="宋体" w:hAnsi="宋体" w:eastAsia="宋体"/>
          <w:b/>
          <w:color w:val="0A6CFF"/>
          <w:sz w:val="22"/>
        </w:rPr>
        <w:t>核心命题</w:t>
      </w:r>
      <w:r>
        <w:rPr>
          <w:rFonts w:ascii="宋体" w:hAnsi="宋体" w:eastAsia="宋体"/>
          <w:b/>
          <w:color w:val="0A6CFF"/>
          <w:sz w:val="22"/>
        </w:rPr>
        <w:br w:type="textWrapping"/>
      </w:r>
      <w:r>
        <w:rPr>
          <w:rFonts w:ascii="宋体" w:hAnsi="宋体" w:eastAsia="宋体"/>
          <w:sz w:val="22"/>
        </w:rPr>
        <w:t>芭芭农场不是一个“领水果的小游戏”，而是一个用虚拟货币（肥料）归集跨 APP 碎片化时间、再外溢变现的注意力做市商。留存与转化的真实分界，不在水果与券之间，而在“用户够不够得到商品兑换门槛”——这条门槛，是平台调节留存与转化的真正阀门。下文围绕该命题展开：先定义问题，再拆机制，最后下一个带代价的判断。</w:t>
      </w:r>
    </w:p>
    <w:p w14:paraId="7D93EF61">
      <w:pPr>
        <w:pStyle w:val="3"/>
        <w:keepNext/>
        <w:spacing w:before="360" w:after="160"/>
      </w:pPr>
      <w:bookmarkStart w:id="2" w:name="_Toc32314"/>
      <w:r>
        <w:rPr>
          <w:rFonts w:ascii="黑体" w:hAnsi="黑体" w:eastAsia="黑体"/>
          <w:b/>
          <w:color w:val="1F2329"/>
          <w:sz w:val="30"/>
        </w:rPr>
        <w:t>一、业务问题定义</w:t>
      </w:r>
      <w:bookmarkEnd w:id="2"/>
    </w:p>
    <w:p w14:paraId="610EC5A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在拆解之前，先回答一个常被跳过的问题：芭芭农场对支付宝/淘宝的商业价值，到底该被当成什么来评估？</w:t>
      </w:r>
    </w:p>
    <w:p w14:paraId="1A24ED08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答案不同，结论会完全相反。当留存工具看，盯的是 DAU 与使用时长，结论是“它很成功，把人留下来了”；当转化工具看，盯的是券核销带来的 GMV，结论可能是“模块内根本没成交几单，亏钱”。早期版本里那组自相矛盾的ROI 测算（广告收益 16 万/天 vs 兑换成本 500 万/天），根子就在这里——它没有先定义“我在算谁的账”，于是把留存口径的收益和转化口径的成本硬拼在一张表里。</w:t>
      </w:r>
    </w:p>
    <w:p w14:paraId="3B56C1E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本文的判断是：芭芭农场两者都是，但两类价值落在不同人群身上，用同一种货币串联。因此正确的评估不是“模块平均 ROI”，而是“分人群、分轨道的单位经济”。这也是后文第七、八节要解决的核心。</w:t>
      </w:r>
    </w:p>
    <w:p w14:paraId="14ADEAB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分析边界需先行声明：模块级内部数据不可得，本文用公开锚点与合理假设做方向性判断，不追求精确数字。增量归因是固有难题（券带来的 GMV 有多少是“本就会买”的订单），本文给出归因方案而非精确答案——在商分语境里，说清“我没法精确测、但我能怎么逼近测”，比假装能精确测更有价值。</w:t>
      </w:r>
    </w:p>
    <w:p w14:paraId="54669D26">
      <w:pPr>
        <w:pStyle w:val="3"/>
        <w:keepNext/>
        <w:spacing w:before="360" w:after="160"/>
      </w:pPr>
      <w:bookmarkStart w:id="3" w:name="_Toc10449"/>
      <w:r>
        <w:rPr>
          <w:rFonts w:ascii="黑体" w:hAnsi="黑体" w:eastAsia="黑体"/>
          <w:b/>
          <w:color w:val="1F2329"/>
          <w:sz w:val="30"/>
        </w:rPr>
        <w:t>二、宏观前提：时间贬值与注意力经济</w:t>
      </w:r>
      <w:bookmarkEnd w:id="3"/>
    </w:p>
    <w:p w14:paraId="37A20E3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这套机制的全部经济性，建立在一个很少被点破的前提上：目标用户的碎片化时间，机会成本接近于零。</w:t>
      </w:r>
    </w:p>
    <w:p w14:paraId="5C3D7D4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道理很直接。如果一个人的时间值 100 元/小时，他绝不会为了一箱市价 20 元的水果浇两周水。正因为他那十几分钟本来也是刷短视频刷掉的，平台才能用一箱水果把这段闲置时间“收购”过来。换句话说，平台是用一种边际成本几乎为零的虚拟货币（肥料），去交换用户真实但闲置的时间——这是一笔对平台而言好到离谱的交易，而它成立的前提，恰恰是“用户的时间不值钱”。</w:t>
      </w:r>
    </w:p>
    <w:p w14:paraId="2D71158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再往下挖一层，事情没那么中性。平台不只是在“利用”闲置时间，它还在训练用户把时间贡献出去的习惯。今天“闲着也是闲着”浇两周拿到水果，这种正反馈会降低用户下次交出时间的心理门槛。于是出现一个自我强化的结构：时间越不值钱的人越容易被这套机制吸附，越被吸附，越没有余力去把时间变值钱。这不是阴谋论，是机制本身的惯性。</w:t>
      </w:r>
    </w:p>
    <w:p w14:paraId="1638A78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对业务的含义是：这个前提一旦动摇，整套单位经济会逆转。因此判断芭芭农场的长期价值，除了看 DAU，还要盯一个更前瞻的变量——目标人群的时间机会成本曲线。如果下沉市场的可支配时间被更多产品争夺（比如短剧、直播进一步抢占），芭芭农场用同样一箱水果能收购到的时间会变少，单位经济就会被挤压。</w:t>
      </w:r>
    </w:p>
    <w:p w14:paraId="1FFFE2B5">
      <w:pPr>
        <w:pStyle w:val="3"/>
        <w:keepNext/>
        <w:spacing w:before="360" w:after="160"/>
      </w:pPr>
      <w:bookmarkStart w:id="4" w:name="_Toc1395"/>
      <w:r>
        <w:rPr>
          <w:rFonts w:ascii="黑体" w:hAnsi="黑体" w:eastAsia="黑体"/>
          <w:b/>
          <w:color w:val="1F2329"/>
          <w:sz w:val="30"/>
        </w:rPr>
        <w:t>三、生态闭环框架：肥料即跨 APP 注意力货币</w:t>
      </w:r>
      <w:bookmarkEnd w:id="4"/>
    </w:p>
    <w:p w14:paraId="64AF010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肥料理解成“奖励”，会低估这套系统。更准确的视角是：肥料是平台发行的、边际成本趋近于零的虚拟货币，它的发行渠道遍布整个阿里系，兑换出口分成两条轨道。平台扮演的角色，是注意力的做市商——用一种货币把分散在不同 APP 的注意力归集到农场，再统一批发变现。</w:t>
      </w:r>
    </w:p>
    <w:p w14:paraId="40E82F28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图 1　芭芭农场的注意力闭环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297"/>
        <w:gridCol w:w="1969"/>
        <w:gridCol w:w="2185"/>
      </w:tblGrid>
      <w:tr w14:paraId="2C71D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3303F"/>
          </w:tcPr>
          <w:p w14:paraId="761E4DA0">
            <w:r>
              <w:rPr>
                <w:rFonts w:ascii="黑体" w:hAnsi="黑体" w:eastAsia="黑体"/>
                <w:b/>
                <w:color w:val="FFFFFF"/>
                <w:sz w:val="21"/>
              </w:rPr>
              <w:t>注意力来源（跨 APP）</w:t>
            </w:r>
          </w:p>
        </w:tc>
        <w:tc>
          <w:tcPr>
            <w:tcW w:w="2381" w:type="dxa"/>
            <w:shd w:val="clear" w:color="auto" w:fill="23303F"/>
          </w:tcPr>
          <w:p w14:paraId="3368829A">
            <w:r>
              <w:rPr>
                <w:rFonts w:ascii="黑体" w:hAnsi="黑体" w:eastAsia="黑体"/>
                <w:b/>
                <w:color w:val="FFFFFF"/>
                <w:sz w:val="21"/>
              </w:rPr>
              <w:t>统一货币：肥料（边际成本≈0）</w:t>
            </w:r>
          </w:p>
        </w:tc>
        <w:tc>
          <w:tcPr>
            <w:tcW w:w="2041" w:type="dxa"/>
            <w:shd w:val="clear" w:color="auto" w:fill="23303F"/>
          </w:tcPr>
          <w:p w14:paraId="63D824B6">
            <w:r>
              <w:rPr>
                <w:rFonts w:ascii="黑体" w:hAnsi="黑体" w:eastAsia="黑体"/>
                <w:b/>
                <w:color w:val="FFFFFF"/>
                <w:sz w:val="21"/>
              </w:rPr>
              <w:t>兑换出口</w:t>
            </w:r>
          </w:p>
        </w:tc>
        <w:tc>
          <w:tcPr>
            <w:tcW w:w="2268" w:type="dxa"/>
            <w:shd w:val="clear" w:color="auto" w:fill="23303F"/>
          </w:tcPr>
          <w:p w14:paraId="1F80D9BE">
            <w:r>
              <w:rPr>
                <w:rFonts w:ascii="黑体" w:hAnsi="黑体" w:eastAsia="黑体"/>
                <w:b/>
                <w:color w:val="FFFFFF"/>
                <w:sz w:val="21"/>
              </w:rPr>
              <w:t>价值落点</w:t>
            </w:r>
          </w:p>
        </w:tc>
      </w:tr>
      <w:tr w14:paraId="060C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C79FEFD">
            <w:r>
              <w:rPr>
                <w:rFonts w:ascii="宋体" w:hAnsi="宋体" w:eastAsia="宋体"/>
                <w:sz w:val="21"/>
              </w:rPr>
              <w:t>淘宝浏览商品（几秒）</w:t>
            </w:r>
          </w:p>
        </w:tc>
        <w:tc>
          <w:tcPr>
            <w:tcW w:w="2381" w:type="dxa"/>
          </w:tcPr>
          <w:p w14:paraId="0964E590">
            <w:r>
              <w:rPr>
                <w:rFonts w:ascii="宋体" w:hAnsi="宋体" w:eastAsia="宋体"/>
                <w:sz w:val="21"/>
              </w:rPr>
              <w:t>归集</w:t>
            </w:r>
          </w:p>
        </w:tc>
        <w:tc>
          <w:tcPr>
            <w:tcW w:w="2041" w:type="dxa"/>
          </w:tcPr>
          <w:p w14:paraId="1B97FA59">
            <w:r>
              <w:rPr>
                <w:rFonts w:ascii="宋体" w:hAnsi="宋体" w:eastAsia="宋体"/>
                <w:sz w:val="21"/>
              </w:rPr>
              <w:t>水果轨（低门槛）</w:t>
            </w:r>
          </w:p>
        </w:tc>
        <w:tc>
          <w:tcPr>
            <w:tcW w:w="2268" w:type="dxa"/>
          </w:tcPr>
          <w:p w14:paraId="48058AF9">
            <w:r>
              <w:rPr>
                <w:rFonts w:ascii="宋体" w:hAnsi="宋体" w:eastAsia="宋体"/>
                <w:sz w:val="21"/>
              </w:rPr>
              <w:t>留存 + 助农叙事 + 广告曝光</w:t>
            </w:r>
          </w:p>
        </w:tc>
      </w:tr>
      <w:tr w14:paraId="1F72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D4768AA">
            <w:r>
              <w:rPr>
                <w:rFonts w:ascii="宋体" w:hAnsi="宋体" w:eastAsia="宋体"/>
                <w:sz w:val="21"/>
              </w:rPr>
              <w:t>蚂蚁庄园喂鸡 / 蚂蚁森林</w:t>
            </w:r>
          </w:p>
        </w:tc>
        <w:tc>
          <w:tcPr>
            <w:tcW w:w="2381" w:type="dxa"/>
          </w:tcPr>
          <w:p w14:paraId="212975CD">
            <w:r>
              <w:rPr>
                <w:rFonts w:ascii="宋体" w:hAnsi="宋体" w:eastAsia="宋体"/>
                <w:sz w:val="21"/>
              </w:rPr>
              <w:t>归集</w:t>
            </w:r>
          </w:p>
        </w:tc>
        <w:tc>
          <w:tcPr>
            <w:tcW w:w="2041" w:type="dxa"/>
          </w:tcPr>
          <w:p w14:paraId="536F57A7">
            <w:r>
              <w:rPr>
                <w:rFonts w:ascii="宋体" w:hAnsi="宋体" w:eastAsia="宋体"/>
                <w:sz w:val="21"/>
              </w:rPr>
              <w:t>商品兑换轨（高门槛）</w:t>
            </w:r>
          </w:p>
        </w:tc>
        <w:tc>
          <w:tcPr>
            <w:tcW w:w="2268" w:type="dxa"/>
          </w:tcPr>
          <w:p w14:paraId="5FDC71FB">
            <w:r>
              <w:rPr>
                <w:rFonts w:ascii="宋体" w:hAnsi="宋体" w:eastAsia="宋体"/>
                <w:sz w:val="21"/>
              </w:rPr>
              <w:t>核销 GMV + 转化</w:t>
            </w:r>
          </w:p>
        </w:tc>
      </w:tr>
      <w:tr w14:paraId="603D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0A60EB2">
            <w:r>
              <w:rPr>
                <w:rFonts w:ascii="宋体" w:hAnsi="宋体" w:eastAsia="宋体"/>
                <w:sz w:val="21"/>
              </w:rPr>
              <w:t>农场乐园小游戏 / 签到 / 下单</w:t>
            </w:r>
          </w:p>
        </w:tc>
        <w:tc>
          <w:tcPr>
            <w:tcW w:w="2381" w:type="dxa"/>
          </w:tcPr>
          <w:p w14:paraId="7A56C3FC">
            <w:r>
              <w:rPr>
                <w:rFonts w:ascii="宋体" w:hAnsi="宋体" w:eastAsia="宋体"/>
                <w:sz w:val="21"/>
              </w:rPr>
              <w:t>归集</w:t>
            </w:r>
          </w:p>
        </w:tc>
        <w:tc>
          <w:tcPr>
            <w:tcW w:w="2041" w:type="dxa"/>
          </w:tcPr>
          <w:p w14:paraId="10CB3154">
            <w:r>
              <w:rPr>
                <w:rFonts w:ascii="宋体" w:hAnsi="宋体" w:eastAsia="宋体"/>
                <w:sz w:val="21"/>
              </w:rPr>
              <w:t>（分流两轨）</w:t>
            </w:r>
          </w:p>
        </w:tc>
        <w:tc>
          <w:tcPr>
            <w:tcW w:w="2268" w:type="dxa"/>
          </w:tcPr>
          <w:p w14:paraId="5F4BDF70">
            <w:r>
              <w:rPr>
                <w:rFonts w:ascii="宋体" w:hAnsi="宋体" w:eastAsia="宋体"/>
                <w:sz w:val="21"/>
              </w:rPr>
              <w:t>外溢转化（别处成交）</w:t>
            </w:r>
          </w:p>
        </w:tc>
      </w:tr>
    </w:tbl>
    <w:p w14:paraId="6C84A4F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几个推论随之清晰。第一，化肥发行量约等于平台归集到的注意力总量，这是个比 DAU 更本质的“吞吐量”指标。第二，两轨的兑换门槛之比，就是平台在“留存”与“转化”之间的配比阀门——这一点会在第五节用实测门槛验证。第三，评估芭芭农场不能只看农场内部，因为大量转化外溢在别处成交（用户在领肥料的路上浏览了商品，过几天在淘宝直接下单），账不记在农场头上。这就是后文归因难题的来源。</w:t>
      </w:r>
    </w:p>
    <w:p w14:paraId="5DF6E40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还有一层容易被忽略的价值：水果轨连着“助农”叙事。免费领一箱助农水果，是一个有道德感、可传播的故事，而优惠券没有。这解释了平台为什么保留成本更高的水果轨而不全换成发券——水果轨同时是留存钩子和社会价值资产，后者的价值算不进 ROI，但确实影响了平台的取舍（见第六章 ESG 维度）。</w:t>
      </w:r>
    </w:p>
    <w:p w14:paraId="31DCAC15">
      <w:pPr>
        <w:pStyle w:val="3"/>
        <w:keepNext/>
        <w:spacing w:before="360" w:after="160"/>
      </w:pPr>
      <w:bookmarkStart w:id="5" w:name="_Toc5896"/>
      <w:r>
        <w:rPr>
          <w:rFonts w:ascii="黑体" w:hAnsi="黑体" w:eastAsia="黑体"/>
          <w:b/>
          <w:color w:val="1F2329"/>
          <w:sz w:val="30"/>
        </w:rPr>
        <w:t>四、行为经济学透镜</w:t>
      </w:r>
      <w:bookmarkEnd w:id="5"/>
    </w:p>
    <w:p w14:paraId="6D1D1C7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四个机制分别作用在漏斗的不同环节，不宜混用。沉没成本是“锁”，把人留在周期里；交易效用是“推”，在兑换瞬间促成下单；变比率强化是“瘾”，维持后期枯燥点击；目标梯度是“加速”，让接近目标时行动变快。</w:t>
      </w:r>
    </w:p>
    <w:p w14:paraId="0767305F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1　四类行为机制及其作用环节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871"/>
        <w:gridCol w:w="5232"/>
      </w:tblGrid>
      <w:tr w14:paraId="737F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3303F"/>
          </w:tcPr>
          <w:p w14:paraId="6455495B">
            <w:r>
              <w:rPr>
                <w:rFonts w:ascii="黑体" w:hAnsi="黑体" w:eastAsia="黑体"/>
                <w:b/>
                <w:color w:val="FFFFFF"/>
                <w:sz w:val="21"/>
              </w:rPr>
              <w:t>机制</w:t>
            </w:r>
          </w:p>
        </w:tc>
        <w:tc>
          <w:tcPr>
            <w:tcW w:w="1928" w:type="dxa"/>
            <w:shd w:val="clear" w:color="auto" w:fill="23303F"/>
          </w:tcPr>
          <w:p w14:paraId="312C43D9">
            <w:r>
              <w:rPr>
                <w:rFonts w:ascii="黑体" w:hAnsi="黑体" w:eastAsia="黑体"/>
                <w:b/>
                <w:color w:val="FFFFFF"/>
                <w:sz w:val="21"/>
              </w:rPr>
              <w:t>作用环节</w:t>
            </w:r>
          </w:p>
        </w:tc>
        <w:tc>
          <w:tcPr>
            <w:tcW w:w="5443" w:type="dxa"/>
            <w:shd w:val="clear" w:color="auto" w:fill="23303F"/>
          </w:tcPr>
          <w:p w14:paraId="39E85246">
            <w:r>
              <w:rPr>
                <w:rFonts w:ascii="黑体" w:hAnsi="黑体" w:eastAsia="黑体"/>
                <w:b/>
                <w:color w:val="FFFFFF"/>
                <w:sz w:val="21"/>
              </w:rPr>
              <w:t>在芭芭农场中的可检验假设</w:t>
            </w:r>
          </w:p>
        </w:tc>
      </w:tr>
      <w:tr w14:paraId="2A85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8CE7F3B">
            <w:r>
              <w:rPr>
                <w:rFonts w:ascii="宋体" w:hAnsi="宋体" w:eastAsia="宋体"/>
                <w:sz w:val="21"/>
              </w:rPr>
              <w:t>沉没成本效应</w:t>
            </w:r>
          </w:p>
        </w:tc>
        <w:tc>
          <w:tcPr>
            <w:tcW w:w="1928" w:type="dxa"/>
          </w:tcPr>
          <w:p w14:paraId="48B90EE4">
            <w:r>
              <w:rPr>
                <w:rFonts w:ascii="宋体" w:hAnsi="宋体" w:eastAsia="宋体"/>
                <w:sz w:val="21"/>
              </w:rPr>
              <w:t>锁存（周期内）</w:t>
            </w:r>
          </w:p>
        </w:tc>
        <w:tc>
          <w:tcPr>
            <w:tcW w:w="5443" w:type="dxa"/>
          </w:tcPr>
          <w:p w14:paraId="7C4556B5">
            <w:r>
              <w:rPr>
                <w:rFonts w:ascii="宋体" w:hAnsi="宋体" w:eastAsia="宋体"/>
                <w:sz w:val="21"/>
              </w:rPr>
              <w:t>用户投入数周后离开门槛升高；但该效应是周期限定的，收获即归零。</w:t>
            </w:r>
          </w:p>
        </w:tc>
      </w:tr>
      <w:tr w14:paraId="45A0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D8AA303">
            <w:r>
              <w:rPr>
                <w:rFonts w:ascii="宋体" w:hAnsi="宋体" w:eastAsia="宋体"/>
                <w:sz w:val="21"/>
              </w:rPr>
              <w:t>目标梯度效应</w:t>
            </w:r>
          </w:p>
        </w:tc>
        <w:tc>
          <w:tcPr>
            <w:tcW w:w="1928" w:type="dxa"/>
          </w:tcPr>
          <w:p w14:paraId="4ED649BC">
            <w:r>
              <w:rPr>
                <w:rFonts w:ascii="宋体" w:hAnsi="宋体" w:eastAsia="宋体"/>
                <w:sz w:val="21"/>
              </w:rPr>
              <w:t>加速（临近成熟）</w:t>
            </w:r>
          </w:p>
        </w:tc>
        <w:tc>
          <w:tcPr>
            <w:tcW w:w="5443" w:type="dxa"/>
          </w:tcPr>
          <w:p w14:paraId="4291B224">
            <w:r>
              <w:rPr>
                <w:rFonts w:ascii="宋体" w:hAnsi="宋体" w:eastAsia="宋体"/>
                <w:sz w:val="21"/>
              </w:rPr>
              <w:t>接近成熟时打开频次与任务完成率上升；但与“后期刻意放慢”存在张力。</w:t>
            </w:r>
          </w:p>
        </w:tc>
      </w:tr>
      <w:tr w14:paraId="48C7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41BA08E">
            <w:r>
              <w:rPr>
                <w:rFonts w:ascii="宋体" w:hAnsi="宋体" w:eastAsia="宋体"/>
                <w:sz w:val="21"/>
              </w:rPr>
              <w:t>变比率强化</w:t>
            </w:r>
          </w:p>
        </w:tc>
        <w:tc>
          <w:tcPr>
            <w:tcW w:w="1928" w:type="dxa"/>
          </w:tcPr>
          <w:p w14:paraId="3CCEA455">
            <w:r>
              <w:rPr>
                <w:rFonts w:ascii="宋体" w:hAnsi="宋体" w:eastAsia="宋体"/>
                <w:sz w:val="21"/>
              </w:rPr>
              <w:t>成瘾（后期枯燥期）</w:t>
            </w:r>
          </w:p>
        </w:tc>
        <w:tc>
          <w:tcPr>
            <w:tcW w:w="5443" w:type="dxa"/>
          </w:tcPr>
          <w:p w14:paraId="43B9E4F2">
            <w:r>
              <w:rPr>
                <w:rFonts w:ascii="宋体" w:hAnsi="宋体" w:eastAsia="宋体"/>
                <w:sz w:val="21"/>
              </w:rPr>
              <w:t>偶发暴击/加速卡把枯燥点击变成不确定性反馈，是后期黏性主因。</w:t>
            </w:r>
          </w:p>
        </w:tc>
      </w:tr>
      <w:tr w14:paraId="26FC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7C505D">
            <w:r>
              <w:rPr>
                <w:rFonts w:ascii="宋体" w:hAnsi="宋体" w:eastAsia="宋体"/>
                <w:sz w:val="21"/>
              </w:rPr>
              <w:t>交易效用</w:t>
            </w:r>
          </w:p>
        </w:tc>
        <w:tc>
          <w:tcPr>
            <w:tcW w:w="1928" w:type="dxa"/>
          </w:tcPr>
          <w:p w14:paraId="578E5614">
            <w:r>
              <w:rPr>
                <w:rFonts w:ascii="宋体" w:hAnsi="宋体" w:eastAsia="宋体"/>
                <w:sz w:val="21"/>
              </w:rPr>
              <w:t>推动（兑换/下单瞬间）</w:t>
            </w:r>
          </w:p>
        </w:tc>
        <w:tc>
          <w:tcPr>
            <w:tcW w:w="5443" w:type="dxa"/>
          </w:tcPr>
          <w:p w14:paraId="12209D39">
            <w:r>
              <w:rPr>
                <w:rFonts w:ascii="宋体" w:hAnsi="宋体" w:eastAsia="宋体"/>
                <w:sz w:val="21"/>
              </w:rPr>
              <w:t>0.01 元或优惠券买到市价更高的东西，占便宜感驱动下单；付时间与付钱被心理账户隔离。</w:t>
            </w:r>
          </w:p>
        </w:tc>
      </w:tr>
    </w:tbl>
    <w:p w14:paraId="36A5324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其中，沉没成本是这套机制最核心也最容易被误读的：它锁住的是单个周期，不是无限期。这个“周期限定”属性，直接预言了第九节的流失悬崖。</w:t>
      </w:r>
    </w:p>
    <w:p w14:paraId="2B691FB4">
      <w:pPr>
        <w:pStyle w:val="3"/>
        <w:keepNext/>
        <w:spacing w:before="360" w:after="160"/>
      </w:pPr>
      <w:bookmarkStart w:id="6" w:name="_Toc30157"/>
      <w:r>
        <w:rPr>
          <w:rFonts w:ascii="黑体" w:hAnsi="黑体" w:eastAsia="黑体"/>
          <w:b/>
          <w:color w:val="1F2329"/>
          <w:sz w:val="30"/>
        </w:rPr>
        <w:t>五、机制拆解与分群漏斗</w:t>
      </w:r>
      <w:bookmarkEnd w:id="6"/>
    </w:p>
    <w:p w14:paraId="36FFE368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用户路径不是一条直线，而是在“商品兑换门槛”处分叉的两条路。下表比例为示意，需以埋点回填，重点是结构而非数值。</w:t>
      </w:r>
    </w:p>
    <w:p w14:paraId="7FC8E4AB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2　用户路径与分群漏斗（示意）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1990"/>
        <w:gridCol w:w="4351"/>
      </w:tblGrid>
      <w:tr w14:paraId="7782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3303F"/>
          </w:tcPr>
          <w:p w14:paraId="6173993C">
            <w:r>
              <w:rPr>
                <w:rFonts w:ascii="黑体" w:hAnsi="黑体" w:eastAsia="黑体"/>
                <w:b/>
                <w:color w:val="FFFFFF"/>
                <w:sz w:val="21"/>
              </w:rPr>
              <w:t>漏斗阶段</w:t>
            </w:r>
          </w:p>
        </w:tc>
        <w:tc>
          <w:tcPr>
            <w:tcW w:w="2041" w:type="dxa"/>
            <w:shd w:val="clear" w:color="auto" w:fill="23303F"/>
          </w:tcPr>
          <w:p w14:paraId="07A4E82F">
            <w:r>
              <w:rPr>
                <w:rFonts w:ascii="黑体" w:hAnsi="黑体" w:eastAsia="黑体"/>
                <w:b/>
                <w:color w:val="FFFFFF"/>
                <w:sz w:val="21"/>
              </w:rPr>
              <w:t>占 DAU（示意）</w:t>
            </w:r>
          </w:p>
        </w:tc>
        <w:tc>
          <w:tcPr>
            <w:tcW w:w="4535" w:type="dxa"/>
            <w:shd w:val="clear" w:color="auto" w:fill="23303F"/>
          </w:tcPr>
          <w:p w14:paraId="67DAA50F"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350A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6F34E5D">
            <w:r>
              <w:rPr>
                <w:rFonts w:ascii="宋体" w:hAnsi="宋体" w:eastAsia="宋体"/>
                <w:sz w:val="21"/>
              </w:rPr>
              <w:t>① 进入农场</w:t>
            </w:r>
          </w:p>
        </w:tc>
        <w:tc>
          <w:tcPr>
            <w:tcW w:w="2041" w:type="dxa"/>
          </w:tcPr>
          <w:p w14:paraId="11D4471A"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w="4535" w:type="dxa"/>
          </w:tcPr>
          <w:p w14:paraId="00C5E15B">
            <w:r>
              <w:rPr>
                <w:rFonts w:ascii="宋体" w:hAnsi="宋体" w:eastAsia="宋体"/>
                <w:sz w:val="21"/>
              </w:rPr>
              <w:t>支付宝大盘导流入口</w:t>
            </w:r>
          </w:p>
        </w:tc>
      </w:tr>
      <w:tr w14:paraId="1648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A00301E">
            <w:r>
              <w:rPr>
                <w:rFonts w:ascii="宋体" w:hAnsi="宋体" w:eastAsia="宋体"/>
                <w:sz w:val="21"/>
              </w:rPr>
              <w:t>② 完成任务（浏览/喂鸡/签到）</w:t>
            </w:r>
          </w:p>
        </w:tc>
        <w:tc>
          <w:tcPr>
            <w:tcW w:w="2041" w:type="dxa"/>
          </w:tcPr>
          <w:p w14:paraId="6497BF1E">
            <w:r>
              <w:rPr>
                <w:rFonts w:ascii="宋体" w:hAnsi="宋体" w:eastAsia="宋体"/>
                <w:sz w:val="21"/>
              </w:rPr>
              <w:t>≈70%</w:t>
            </w:r>
          </w:p>
        </w:tc>
        <w:tc>
          <w:tcPr>
            <w:tcW w:w="4535" w:type="dxa"/>
          </w:tcPr>
          <w:p w14:paraId="5835B1B4">
            <w:r>
              <w:rPr>
                <w:rFonts w:ascii="宋体" w:hAnsi="宋体" w:eastAsia="宋体"/>
                <w:sz w:val="21"/>
              </w:rPr>
              <w:t>签到保底锁日活；浏览任务产生导购曝光</w:t>
            </w:r>
          </w:p>
        </w:tc>
      </w:tr>
      <w:tr w14:paraId="3458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96C2932">
            <w:r>
              <w:rPr>
                <w:rFonts w:ascii="宋体" w:hAnsi="宋体" w:eastAsia="宋体"/>
                <w:sz w:val="21"/>
              </w:rPr>
              <w:t>③ 攒肥料至日均上限</w:t>
            </w:r>
          </w:p>
        </w:tc>
        <w:tc>
          <w:tcPr>
            <w:tcW w:w="2041" w:type="dxa"/>
          </w:tcPr>
          <w:p w14:paraId="4025FBF2">
            <w:r>
              <w:rPr>
                <w:rFonts w:ascii="宋体" w:hAnsi="宋体" w:eastAsia="宋体"/>
                <w:sz w:val="21"/>
              </w:rPr>
              <w:t>≈40%</w:t>
            </w:r>
          </w:p>
        </w:tc>
        <w:tc>
          <w:tcPr>
            <w:tcW w:w="4535" w:type="dxa"/>
          </w:tcPr>
          <w:p w14:paraId="5C489558">
            <w:r>
              <w:rPr>
                <w:rFonts w:ascii="宋体" w:hAnsi="宋体" w:eastAsia="宋体"/>
                <w:sz w:val="21"/>
              </w:rPr>
              <w:t>多数用户日均仅能攒到 8–9 千，受时间约束</w:t>
            </w:r>
          </w:p>
        </w:tc>
      </w:tr>
      <w:tr w14:paraId="4BF3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C24B25B">
            <w:r>
              <w:rPr>
                <w:rFonts w:ascii="宋体" w:hAnsi="宋体" w:eastAsia="宋体"/>
                <w:sz w:val="21"/>
              </w:rPr>
              <w:t>④a 水果轨（够得到）</w:t>
            </w:r>
          </w:p>
        </w:tc>
        <w:tc>
          <w:tcPr>
            <w:tcW w:w="2041" w:type="dxa"/>
          </w:tcPr>
          <w:p w14:paraId="62CFDCB5">
            <w:r>
              <w:rPr>
                <w:rFonts w:ascii="宋体" w:hAnsi="宋体" w:eastAsia="宋体"/>
                <w:sz w:val="21"/>
              </w:rPr>
              <w:t>≈30%</w:t>
            </w:r>
          </w:p>
        </w:tc>
        <w:tc>
          <w:tcPr>
            <w:tcW w:w="4535" w:type="dxa"/>
          </w:tcPr>
          <w:p w14:paraId="2A196811">
            <w:r>
              <w:rPr>
                <w:rFonts w:ascii="宋体" w:hAnsi="宋体" w:eastAsia="宋体"/>
                <w:sz w:val="21"/>
              </w:rPr>
              <w:t>低门槛，大众默认停留点；产生留存+助农+广告曝光</w:t>
            </w:r>
          </w:p>
        </w:tc>
      </w:tr>
      <w:tr w14:paraId="742C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0415BC1">
            <w:r>
              <w:rPr>
                <w:rFonts w:ascii="宋体" w:hAnsi="宋体" w:eastAsia="宋体"/>
                <w:sz w:val="21"/>
              </w:rPr>
              <w:t>④b 商品兑换轨（够不到）</w:t>
            </w:r>
          </w:p>
        </w:tc>
        <w:tc>
          <w:tcPr>
            <w:tcW w:w="2041" w:type="dxa"/>
          </w:tcPr>
          <w:p w14:paraId="42B3E758">
            <w:r>
              <w:rPr>
                <w:rFonts w:ascii="宋体" w:hAnsi="宋体" w:eastAsia="宋体"/>
                <w:sz w:val="21"/>
              </w:rPr>
              <w:t>≈5–8%</w:t>
            </w:r>
          </w:p>
        </w:tc>
        <w:tc>
          <w:tcPr>
            <w:tcW w:w="4535" w:type="dxa"/>
          </w:tcPr>
          <w:p w14:paraId="5EEBB8D3">
            <w:r>
              <w:rPr>
                <w:rFonts w:ascii="宋体" w:hAnsi="宋体" w:eastAsia="宋体"/>
                <w:sz w:val="21"/>
              </w:rPr>
              <w:t>需几万肥料，多数用户够不到；少数高活跃用户走此轨，产生核销 GMV</w:t>
            </w:r>
          </w:p>
        </w:tc>
      </w:tr>
      <w:tr w14:paraId="71132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2D396F0">
            <w:r>
              <w:rPr>
                <w:rFonts w:ascii="宋体" w:hAnsi="宋体" w:eastAsia="宋体"/>
                <w:sz w:val="21"/>
              </w:rPr>
              <w:t>⑤ 外溢转化（别处成交）</w:t>
            </w:r>
          </w:p>
        </w:tc>
        <w:tc>
          <w:tcPr>
            <w:tcW w:w="2041" w:type="dxa"/>
          </w:tcPr>
          <w:p w14:paraId="1BA36830">
            <w:r>
              <w:rPr>
                <w:rFonts w:ascii="宋体" w:hAnsi="宋体" w:eastAsia="宋体"/>
                <w:sz w:val="21"/>
              </w:rPr>
              <w:t>难归因</w:t>
            </w:r>
          </w:p>
        </w:tc>
        <w:tc>
          <w:tcPr>
            <w:tcW w:w="4535" w:type="dxa"/>
          </w:tcPr>
          <w:p w14:paraId="63761B26">
            <w:r>
              <w:rPr>
                <w:rFonts w:ascii="宋体" w:hAnsi="宋体" w:eastAsia="宋体"/>
                <w:sz w:val="21"/>
              </w:rPr>
              <w:t>领肥料路上浏览→过几天淘宝直接下单，账不记在农场</w:t>
            </w:r>
          </w:p>
        </w:tc>
      </w:tr>
    </w:tbl>
    <w:p w14:paraId="7A1DFE71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关键发现来自实测：商品兑换门槛（约几万肥料）远高于用户日均可得（约 8–9 千）。这意味着大众根本够不到商品轨，默认停在水果轨；只有高活跃、长期投入的少数用户走得到商品兑换。所以现阶段芭芭农场的主引擎其实是留存，不是模块内转化——转化大多外溢在别处成交。这条门槛，就是第三节说的“配比阀门”的具体刻度。</w:t>
      </w:r>
    </w:p>
    <w:p w14:paraId="384192D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这也修正了一个常见误判：以为“发了多少券”等于“赚了多少 GMV”。真实情况是，农场内的券核销量很小，真正值钱的是用户在攒肥料过程中被迫浏览商品所产生的导购曝光——这才是规模化的价值来源。</w:t>
      </w:r>
    </w:p>
    <w:p w14:paraId="40EC2372">
      <w:pPr>
        <w:pStyle w:val="3"/>
        <w:keepNext/>
        <w:spacing w:before="360" w:after="160"/>
      </w:pPr>
      <w:bookmarkStart w:id="7" w:name="_Toc16677"/>
      <w:r>
        <w:rPr>
          <w:rFonts w:ascii="黑体" w:hAnsi="黑体" w:eastAsia="黑体"/>
          <w:b/>
          <w:color w:val="1F2329"/>
          <w:sz w:val="30"/>
        </w:rPr>
        <w:t>六、指标体系</w:t>
      </w:r>
      <w:bookmarkEnd w:id="7"/>
    </w:p>
    <w:p w14:paraId="1F7CF17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把模块健康度拆成六维。其中“转化变现”要特别区分模块内核销与外溢转化，否则会高估或低估商业价值。</w:t>
      </w:r>
    </w:p>
    <w:p w14:paraId="38750AE7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3　芭芭农场健康度指标体系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2926"/>
        <w:gridCol w:w="4620"/>
      </w:tblGrid>
      <w:tr w14:paraId="7331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3303F"/>
          </w:tcPr>
          <w:p w14:paraId="705B12FB"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w="3061" w:type="dxa"/>
            <w:shd w:val="clear" w:color="auto" w:fill="23303F"/>
          </w:tcPr>
          <w:p w14:paraId="5A8C025C">
            <w:r>
              <w:rPr>
                <w:rFonts w:ascii="黑体" w:hAnsi="黑体" w:eastAsia="黑体"/>
                <w:b/>
                <w:color w:val="FFFFFF"/>
                <w:sz w:val="21"/>
              </w:rPr>
              <w:t>一级指标</w:t>
            </w:r>
          </w:p>
        </w:tc>
        <w:tc>
          <w:tcPr>
            <w:tcW w:w="4876" w:type="dxa"/>
            <w:shd w:val="clear" w:color="auto" w:fill="23303F"/>
          </w:tcPr>
          <w:p w14:paraId="2C27576F">
            <w:r>
              <w:rPr>
                <w:rFonts w:ascii="黑体" w:hAnsi="黑体" w:eastAsia="黑体"/>
                <w:b/>
                <w:color w:val="FFFFFF"/>
                <w:sz w:val="21"/>
              </w:rPr>
              <w:t>观测要点</w:t>
            </w:r>
          </w:p>
        </w:tc>
      </w:tr>
      <w:tr w14:paraId="549B4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81EBB3C">
            <w:r>
              <w:rPr>
                <w:rFonts w:ascii="宋体" w:hAnsi="宋体" w:eastAsia="宋体"/>
                <w:sz w:val="21"/>
              </w:rPr>
              <w:t>规模</w:t>
            </w:r>
          </w:p>
        </w:tc>
        <w:tc>
          <w:tcPr>
            <w:tcW w:w="3061" w:type="dxa"/>
          </w:tcPr>
          <w:p w14:paraId="1A9D4D9F">
            <w:r>
              <w:rPr>
                <w:rFonts w:ascii="宋体" w:hAnsi="宋体" w:eastAsia="宋体"/>
                <w:sz w:val="21"/>
              </w:rPr>
              <w:t>DAU/MAU、化肥日发行量</w:t>
            </w:r>
          </w:p>
        </w:tc>
        <w:tc>
          <w:tcPr>
            <w:tcW w:w="4876" w:type="dxa"/>
          </w:tcPr>
          <w:p w14:paraId="5635C50A">
            <w:r>
              <w:rPr>
                <w:rFonts w:ascii="宋体" w:hAnsi="宋体" w:eastAsia="宋体"/>
                <w:sz w:val="21"/>
              </w:rPr>
              <w:t>化肥发行量比 DAU 更能反映注意力吞吐</w:t>
            </w:r>
          </w:p>
        </w:tc>
      </w:tr>
      <w:tr w14:paraId="6BAC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1EB2F25">
            <w:r>
              <w:rPr>
                <w:rFonts w:ascii="宋体" w:hAnsi="宋体" w:eastAsia="宋体"/>
                <w:sz w:val="21"/>
              </w:rPr>
              <w:t>参与</w:t>
            </w:r>
          </w:p>
        </w:tc>
        <w:tc>
          <w:tcPr>
            <w:tcW w:w="3061" w:type="dxa"/>
          </w:tcPr>
          <w:p w14:paraId="5D528340">
            <w:r>
              <w:rPr>
                <w:rFonts w:ascii="宋体" w:hAnsi="宋体" w:eastAsia="宋体"/>
                <w:sz w:val="21"/>
              </w:rPr>
              <w:t>人均任务数、任务完成率</w:t>
            </w:r>
          </w:p>
        </w:tc>
        <w:tc>
          <w:tcPr>
            <w:tcW w:w="4876" w:type="dxa"/>
          </w:tcPr>
          <w:p w14:paraId="32426049">
            <w:r>
              <w:rPr>
                <w:rFonts w:ascii="宋体" w:hAnsi="宋体" w:eastAsia="宋体"/>
                <w:sz w:val="21"/>
              </w:rPr>
              <w:t>engagement 深度，反映习惯强度</w:t>
            </w:r>
          </w:p>
        </w:tc>
      </w:tr>
      <w:tr w14:paraId="7153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02BAE4A">
            <w:r>
              <w:rPr>
                <w:rFonts w:ascii="宋体" w:hAnsi="宋体" w:eastAsia="宋体"/>
                <w:sz w:val="21"/>
              </w:rPr>
              <w:t>留存</w:t>
            </w:r>
          </w:p>
        </w:tc>
        <w:tc>
          <w:tcPr>
            <w:tcW w:w="3061" w:type="dxa"/>
          </w:tcPr>
          <w:p w14:paraId="2F4C89DC">
            <w:r>
              <w:rPr>
                <w:rFonts w:ascii="宋体" w:hAnsi="宋体" w:eastAsia="宋体"/>
                <w:sz w:val="21"/>
              </w:rPr>
              <w:t>次留/7留/30留、成熟期 Cohort</w:t>
            </w:r>
          </w:p>
        </w:tc>
        <w:tc>
          <w:tcPr>
            <w:tcW w:w="4876" w:type="dxa"/>
          </w:tcPr>
          <w:p w14:paraId="2DAA0873">
            <w:r>
              <w:rPr>
                <w:rFonts w:ascii="宋体" w:hAnsi="宋体" w:eastAsia="宋体"/>
                <w:sz w:val="21"/>
              </w:rPr>
              <w:t>Cohort 曲线暴露“收获后流失悬崖”</w:t>
            </w:r>
          </w:p>
        </w:tc>
      </w:tr>
      <w:tr w14:paraId="231E5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CE28FB8">
            <w:r>
              <w:rPr>
                <w:rFonts w:ascii="宋体" w:hAnsi="宋体" w:eastAsia="宋体"/>
                <w:sz w:val="21"/>
              </w:rPr>
              <w:t>转化变现</w:t>
            </w:r>
          </w:p>
        </w:tc>
        <w:tc>
          <w:tcPr>
            <w:tcW w:w="3061" w:type="dxa"/>
          </w:tcPr>
          <w:p w14:paraId="33021BA8">
            <w:r>
              <w:rPr>
                <w:rFonts w:ascii="宋体" w:hAnsi="宋体" w:eastAsia="宋体"/>
                <w:sz w:val="21"/>
              </w:rPr>
              <w:t>领券率、模块内核销率、外溢转化率、增量 GMV</w:t>
            </w:r>
          </w:p>
        </w:tc>
        <w:tc>
          <w:tcPr>
            <w:tcW w:w="4876" w:type="dxa"/>
          </w:tcPr>
          <w:p w14:paraId="45426AAB">
            <w:r>
              <w:rPr>
                <w:rFonts w:ascii="宋体" w:hAnsi="宋体" w:eastAsia="宋体"/>
                <w:sz w:val="21"/>
              </w:rPr>
              <w:t>区分模块内成交与别处成交；增量 GMV 需 holdout 测</w:t>
            </w:r>
          </w:p>
        </w:tc>
      </w:tr>
      <w:tr w14:paraId="254C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AFE48CF">
            <w:r>
              <w:rPr>
                <w:rFonts w:ascii="宋体" w:hAnsi="宋体" w:eastAsia="宋体"/>
                <w:sz w:val="21"/>
              </w:rPr>
              <w:t>单位经济</w:t>
            </w:r>
          </w:p>
        </w:tc>
        <w:tc>
          <w:tcPr>
            <w:tcW w:w="3061" w:type="dxa"/>
          </w:tcPr>
          <w:p w14:paraId="5EF109BD">
            <w:r>
              <w:rPr>
                <w:rFonts w:ascii="宋体" w:hAnsi="宋体" w:eastAsia="宋体"/>
                <w:sz w:val="21"/>
              </w:rPr>
              <w:t>分群 LTV vs 分群激励成本</w:t>
            </w:r>
          </w:p>
        </w:tc>
        <w:tc>
          <w:tcPr>
            <w:tcW w:w="4876" w:type="dxa"/>
          </w:tcPr>
          <w:p w14:paraId="29394617">
            <w:r>
              <w:rPr>
                <w:rFonts w:ascii="宋体" w:hAnsi="宋体" w:eastAsia="宋体"/>
                <w:sz w:val="21"/>
              </w:rPr>
              <w:t>留存型与转化型分别算，不混算平均 ROI</w:t>
            </w:r>
          </w:p>
        </w:tc>
      </w:tr>
      <w:tr w14:paraId="6898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A57BF49">
            <w:r>
              <w:rPr>
                <w:rFonts w:ascii="宋体" w:hAnsi="宋体" w:eastAsia="宋体"/>
                <w:sz w:val="21"/>
              </w:rPr>
              <w:t>外部性/ESG</w:t>
            </w:r>
          </w:p>
        </w:tc>
        <w:tc>
          <w:tcPr>
            <w:tcW w:w="3061" w:type="dxa"/>
          </w:tcPr>
          <w:p w14:paraId="132BA722">
            <w:r>
              <w:rPr>
                <w:rFonts w:ascii="宋体" w:hAnsi="宋体" w:eastAsia="宋体"/>
                <w:sz w:val="21"/>
              </w:rPr>
              <w:t>助农曝光触达人数、监管正面舆情指数、社媒负面提及率</w:t>
            </w:r>
          </w:p>
        </w:tc>
        <w:tc>
          <w:tcPr>
            <w:tcW w:w="4876" w:type="dxa"/>
          </w:tcPr>
          <w:p w14:paraId="74B8C54A">
            <w:r>
              <w:rPr>
                <w:rFonts w:ascii="宋体" w:hAnsi="宋体" w:eastAsia="宋体"/>
                <w:sz w:val="21"/>
              </w:rPr>
              <w:t>助农叙事降低政策与舆论沟通成本；负面提及率作降门槛护栏</w:t>
            </w:r>
          </w:p>
        </w:tc>
      </w:tr>
    </w:tbl>
    <w:p w14:paraId="6011BF6A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“外溢转化率”和“增量 GMV”是两个最该加却最常被省略的指标。没有它们，模块价值要么被高估（把所有相关 GMV 算给自己），要么被低估（只算模块内核销那点）。商分的价值，往往就体现在把这类“看不见的量”显性化。</w:t>
      </w:r>
    </w:p>
    <w:p w14:paraId="7A2DAC8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水果轨的助农叙事算不进 ROI，但它降低了平台在监管和舆论中的沟通成本——砍掉水果轨全换券，可能省钱却引发外部反噬。把“助农曝光触达”与“舆情指数”挂钩，让社会价值可监测、可作护栏：不是所有价值都能折现，但所有价值都该能被看见。</w:t>
      </w:r>
    </w:p>
    <w:p w14:paraId="1EBBD886">
      <w:pPr>
        <w:pStyle w:val="3"/>
        <w:keepNext/>
        <w:spacing w:before="360" w:after="160"/>
      </w:pPr>
      <w:bookmarkStart w:id="8" w:name="_Toc406"/>
      <w:r>
        <w:rPr>
          <w:rFonts w:ascii="黑体" w:hAnsi="黑体" w:eastAsia="黑体"/>
          <w:b/>
          <w:color w:val="1F2329"/>
          <w:sz w:val="30"/>
        </w:rPr>
        <w:t>七、单位经济与归因难题</w:t>
      </w:r>
      <w:bookmarkEnd w:id="8"/>
    </w:p>
    <w:p w14:paraId="78A0F6A2">
      <w:pPr>
        <w:pStyle w:val="4"/>
        <w:keepNext/>
        <w:spacing w:before="240" w:after="80"/>
      </w:pPr>
      <w:bookmarkStart w:id="9" w:name="_Toc3208"/>
      <w:r>
        <w:rPr>
          <w:rFonts w:ascii="黑体" w:hAnsi="黑体" w:eastAsia="黑体"/>
          <w:b/>
          <w:color w:val="23303F"/>
          <w:sz w:val="25"/>
        </w:rPr>
        <w:t>7.1 单券单位经济（转化型用户）</w:t>
      </w:r>
      <w:bookmarkEnd w:id="9"/>
    </w:p>
    <w:p w14:paraId="541EB01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对走得到商品轨的少数用户，用单券视角算账。设 A=月均券面额（元，示意 2）；k=券核销率（20%–40%）；G=核销后平均带动 GMV（元/单，示意 30–50）；m=平台抽佣/等效变现率（15%–20%）。</w:t>
      </w:r>
    </w:p>
    <w:p w14:paraId="47B3D15C">
      <w:pPr>
        <w:spacing w:after="120"/>
        <w:ind w:firstLine="440"/>
      </w:pPr>
      <w:r>
        <w:rPr>
          <w:rFonts w:ascii="宋体" w:hAnsi="宋体" w:eastAsia="宋体"/>
          <w:b/>
          <w:color w:val="0A6CFF"/>
          <w:sz w:val="22"/>
        </w:rPr>
        <w:t>单券净收益 = k·( G·m − A )    盈亏平衡： G·m ≥ A  ⟹  G ≥ A / m</w:t>
      </w:r>
    </w:p>
    <w:p w14:paraId="39348C14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代入 A=2、m=0.15：只要每核销单带动 GMV 超过 13 元即盈利，门槛很宽松。取 G=40：G·m=6，k=25% 时单用户月净收益约 1.0 元，方向性为正（见表2）。</w:t>
      </w:r>
    </w:p>
    <w:p w14:paraId="432470CB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4　单券单位经济敏感性（示意）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9"/>
        <w:gridCol w:w="2099"/>
        <w:gridCol w:w="2099"/>
        <w:gridCol w:w="2099"/>
      </w:tblGrid>
      <w:tr w14:paraId="3D34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3303F"/>
          </w:tcPr>
          <w:p w14:paraId="743480CD">
            <w:r>
              <w:rPr>
                <w:rFonts w:ascii="黑体" w:hAnsi="黑体" w:eastAsia="黑体"/>
                <w:b/>
                <w:color w:val="FFFFFF"/>
                <w:sz w:val="21"/>
              </w:rPr>
              <w:t>盈亏平衡 G≥A/m</w:t>
            </w:r>
          </w:p>
        </w:tc>
        <w:tc>
          <w:tcPr>
            <w:tcW w:w="2154" w:type="dxa"/>
            <w:shd w:val="clear" w:color="auto" w:fill="23303F"/>
          </w:tcPr>
          <w:p w14:paraId="3A6F60AE">
            <w:r>
              <w:rPr>
                <w:rFonts w:ascii="黑体" w:hAnsi="黑体" w:eastAsia="黑体"/>
                <w:b/>
                <w:color w:val="FFFFFF"/>
                <w:sz w:val="21"/>
              </w:rPr>
              <w:t>k=20%</w:t>
            </w:r>
          </w:p>
        </w:tc>
        <w:tc>
          <w:tcPr>
            <w:tcW w:w="2154" w:type="dxa"/>
            <w:shd w:val="clear" w:color="auto" w:fill="23303F"/>
          </w:tcPr>
          <w:p w14:paraId="607509DE">
            <w:r>
              <w:rPr>
                <w:rFonts w:ascii="黑体" w:hAnsi="黑体" w:eastAsia="黑体"/>
                <w:b/>
                <w:color w:val="FFFFFF"/>
                <w:sz w:val="21"/>
              </w:rPr>
              <w:t>k=30%</w:t>
            </w:r>
          </w:p>
        </w:tc>
        <w:tc>
          <w:tcPr>
            <w:tcW w:w="2154" w:type="dxa"/>
            <w:shd w:val="clear" w:color="auto" w:fill="23303F"/>
          </w:tcPr>
          <w:p w14:paraId="4CBE21FE">
            <w:r>
              <w:rPr>
                <w:rFonts w:ascii="黑体" w:hAnsi="黑体" w:eastAsia="黑体"/>
                <w:b/>
                <w:color w:val="FFFFFF"/>
                <w:sz w:val="21"/>
              </w:rPr>
              <w:t>k=40%</w:t>
            </w:r>
          </w:p>
        </w:tc>
      </w:tr>
      <w:tr w14:paraId="212F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E5E0E36">
            <w:r>
              <w:rPr>
                <w:rFonts w:ascii="宋体" w:hAnsi="宋体" w:eastAsia="宋体"/>
                <w:sz w:val="21"/>
              </w:rPr>
              <w:t>G=30（G·m=4.5）</w:t>
            </w:r>
          </w:p>
        </w:tc>
        <w:tc>
          <w:tcPr>
            <w:tcW w:w="2154" w:type="dxa"/>
          </w:tcPr>
          <w:p w14:paraId="0216F183">
            <w:r>
              <w:rPr>
                <w:rFonts w:ascii="宋体" w:hAnsi="宋体" w:eastAsia="宋体"/>
                <w:sz w:val="21"/>
              </w:rPr>
              <w:t>净 +0.50/月</w:t>
            </w:r>
          </w:p>
        </w:tc>
        <w:tc>
          <w:tcPr>
            <w:tcW w:w="2154" w:type="dxa"/>
          </w:tcPr>
          <w:p w14:paraId="2F8CB002">
            <w:r>
              <w:rPr>
                <w:rFonts w:ascii="宋体" w:hAnsi="宋体" w:eastAsia="宋体"/>
                <w:sz w:val="21"/>
              </w:rPr>
              <w:t>净 +0.75/月</w:t>
            </w:r>
          </w:p>
        </w:tc>
        <w:tc>
          <w:tcPr>
            <w:tcW w:w="2154" w:type="dxa"/>
          </w:tcPr>
          <w:p w14:paraId="0238D9ED">
            <w:r>
              <w:rPr>
                <w:rFonts w:ascii="宋体" w:hAnsi="宋体" w:eastAsia="宋体"/>
                <w:sz w:val="21"/>
              </w:rPr>
              <w:t>净 +1.00/月</w:t>
            </w:r>
          </w:p>
        </w:tc>
      </w:tr>
      <w:tr w14:paraId="6622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58B47DF">
            <w:r>
              <w:rPr>
                <w:rFonts w:ascii="宋体" w:hAnsi="宋体" w:eastAsia="宋体"/>
                <w:sz w:val="21"/>
              </w:rPr>
              <w:t>G=40（G·m=6.0）</w:t>
            </w:r>
          </w:p>
        </w:tc>
        <w:tc>
          <w:tcPr>
            <w:tcW w:w="2154" w:type="dxa"/>
          </w:tcPr>
          <w:p w14:paraId="75E16297">
            <w:r>
              <w:rPr>
                <w:rFonts w:ascii="宋体" w:hAnsi="宋体" w:eastAsia="宋体"/>
                <w:sz w:val="21"/>
              </w:rPr>
              <w:t>净 +0.80/月</w:t>
            </w:r>
          </w:p>
        </w:tc>
        <w:tc>
          <w:tcPr>
            <w:tcW w:w="2154" w:type="dxa"/>
          </w:tcPr>
          <w:p w14:paraId="3F1B4EB6">
            <w:r>
              <w:rPr>
                <w:rFonts w:ascii="宋体" w:hAnsi="宋体" w:eastAsia="宋体"/>
                <w:sz w:val="21"/>
              </w:rPr>
              <w:t>净 +1.20/月</w:t>
            </w:r>
          </w:p>
        </w:tc>
        <w:tc>
          <w:tcPr>
            <w:tcW w:w="2154" w:type="dxa"/>
          </w:tcPr>
          <w:p w14:paraId="57AFBB56">
            <w:r>
              <w:rPr>
                <w:rFonts w:ascii="宋体" w:hAnsi="宋体" w:eastAsia="宋体"/>
                <w:sz w:val="21"/>
              </w:rPr>
              <w:t>净 +1.60/月</w:t>
            </w:r>
          </w:p>
        </w:tc>
      </w:tr>
      <w:tr w14:paraId="4BF0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2209D40">
            <w:r>
              <w:rPr>
                <w:rFonts w:ascii="宋体" w:hAnsi="宋体" w:eastAsia="宋体"/>
                <w:sz w:val="21"/>
              </w:rPr>
              <w:t>G=50（G·m=7.5）</w:t>
            </w:r>
          </w:p>
        </w:tc>
        <w:tc>
          <w:tcPr>
            <w:tcW w:w="2154" w:type="dxa"/>
          </w:tcPr>
          <w:p w14:paraId="0797EA2B">
            <w:r>
              <w:rPr>
                <w:rFonts w:ascii="宋体" w:hAnsi="宋体" w:eastAsia="宋体"/>
                <w:sz w:val="21"/>
              </w:rPr>
              <w:t>净 +1.10/月</w:t>
            </w:r>
          </w:p>
        </w:tc>
        <w:tc>
          <w:tcPr>
            <w:tcW w:w="2154" w:type="dxa"/>
          </w:tcPr>
          <w:p w14:paraId="38287F30">
            <w:r>
              <w:rPr>
                <w:rFonts w:ascii="宋体" w:hAnsi="宋体" w:eastAsia="宋体"/>
                <w:sz w:val="21"/>
              </w:rPr>
              <w:t>净 +1.65/月</w:t>
            </w:r>
          </w:p>
        </w:tc>
        <w:tc>
          <w:tcPr>
            <w:tcW w:w="2154" w:type="dxa"/>
          </w:tcPr>
          <w:p w14:paraId="5059243B">
            <w:r>
              <w:rPr>
                <w:rFonts w:ascii="宋体" w:hAnsi="宋体" w:eastAsia="宋体"/>
                <w:sz w:val="21"/>
              </w:rPr>
              <w:t>净 +2.20/月</w:t>
            </w:r>
          </w:p>
        </w:tc>
      </w:tr>
    </w:tbl>
    <w:p w14:paraId="0C4A1BB6">
      <w:pPr>
        <w:pStyle w:val="4"/>
        <w:keepNext/>
        <w:spacing w:before="240" w:after="80"/>
      </w:pPr>
      <w:bookmarkStart w:id="10" w:name="_Toc11221"/>
      <w:r>
        <w:rPr>
          <w:rFonts w:ascii="黑体" w:hAnsi="黑体" w:eastAsia="黑体"/>
          <w:b/>
          <w:color w:val="23303F"/>
          <w:sz w:val="25"/>
        </w:rPr>
        <w:t>7.2 归因难题：这 GMV 真的是增量吗</w:t>
      </w:r>
      <w:bookmarkEnd w:id="10"/>
    </w:p>
    <w:p w14:paraId="6869B882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上面这个模型有一个没说破的假设：核销带来的 GMV 是“增量”的。可现实中，用户可能本来就要买这件东西，券只是让他提前或换了个入口下单。如果是这样，平台抽佣的并不是“新创造的 GMV”，而是“本就会发生的 GMV 的部分让渡”，真实净收益要打折扣。</w:t>
      </w:r>
    </w:p>
    <w:p w14:paraId="23C6DC7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这就是模块级归因的固有难题，躲不掉。能做的是逼近：留一小部分用户（如 5%）完全不发券作反事实对照（holdout）；在受控流量上对随机用户发券/不发券直接测增量（增量归因实验）；或用特征相似但未领券的用户构造合成对照。模块级精确归因做不到，只能用实验逼近。本文单位经济里的 G 应理解为一个“含归因折扣”的参数，其真实值要靠第十一节的归因实验校准——把这一点写进报告，不是认怂，是商分的基本操守。</w:t>
      </w:r>
    </w:p>
    <w:p w14:paraId="32CC6CBB">
      <w:pPr>
        <w:pStyle w:val="4"/>
        <w:keepNext/>
        <w:spacing w:before="240" w:after="80"/>
      </w:pPr>
      <w:bookmarkStart w:id="11" w:name="_Toc24245"/>
      <w:r>
        <w:rPr>
          <w:rFonts w:ascii="黑体" w:hAnsi="黑体" w:eastAsia="黑体"/>
          <w:b/>
          <w:color w:val="23303F"/>
          <w:sz w:val="25"/>
        </w:rPr>
        <w:t>7.3 分群单位经济：两群算法不同</w:t>
      </w:r>
      <w:bookmarkEnd w:id="11"/>
    </w:p>
    <w:p w14:paraId="14C2D51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把平均 ROI 拆成两群后，结构才清楚（见表3）。</w:t>
      </w:r>
    </w:p>
    <w:p w14:paraId="4EEF53D7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5　分群单位经济对比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9"/>
        <w:gridCol w:w="2615"/>
        <w:gridCol w:w="1754"/>
        <w:gridCol w:w="2518"/>
      </w:tblGrid>
      <w:tr w14:paraId="1358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3303F"/>
          </w:tcPr>
          <w:p w14:paraId="73C9C460">
            <w:r>
              <w:rPr>
                <w:rFonts w:ascii="黑体" w:hAnsi="黑体" w:eastAsia="黑体"/>
                <w:b/>
                <w:color w:val="FFFFFF"/>
                <w:sz w:val="21"/>
              </w:rPr>
              <w:t>人群</w:t>
            </w:r>
          </w:p>
        </w:tc>
        <w:tc>
          <w:tcPr>
            <w:tcW w:w="2721" w:type="dxa"/>
            <w:shd w:val="clear" w:color="auto" w:fill="23303F"/>
          </w:tcPr>
          <w:p w14:paraId="59CD54DF">
            <w:r>
              <w:rPr>
                <w:rFonts w:ascii="黑体" w:hAnsi="黑体" w:eastAsia="黑体"/>
                <w:b/>
                <w:color w:val="FFFFFF"/>
                <w:sz w:val="21"/>
              </w:rPr>
              <w:t>价值来源</w:t>
            </w:r>
          </w:p>
        </w:tc>
        <w:tc>
          <w:tcPr>
            <w:tcW w:w="1814" w:type="dxa"/>
            <w:shd w:val="clear" w:color="auto" w:fill="23303F"/>
          </w:tcPr>
          <w:p w14:paraId="7284EF17">
            <w:r>
              <w:rPr>
                <w:rFonts w:ascii="黑体" w:hAnsi="黑体" w:eastAsia="黑体"/>
                <w:b/>
                <w:color w:val="FFFFFF"/>
                <w:sz w:val="21"/>
              </w:rPr>
              <w:t>成本</w:t>
            </w:r>
          </w:p>
        </w:tc>
        <w:tc>
          <w:tcPr>
            <w:tcW w:w="2608" w:type="dxa"/>
            <w:shd w:val="clear" w:color="auto" w:fill="23303F"/>
          </w:tcPr>
          <w:p w14:paraId="01211C6E">
            <w:r>
              <w:rPr>
                <w:rFonts w:ascii="黑体" w:hAnsi="黑体" w:eastAsia="黑体"/>
                <w:b/>
                <w:color w:val="FFFFFF"/>
                <w:sz w:val="21"/>
              </w:rPr>
              <w:t>单位经济判断</w:t>
            </w:r>
          </w:p>
        </w:tc>
      </w:tr>
      <w:tr w14:paraId="3BAD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DB1225D">
            <w:r>
              <w:rPr>
                <w:rFonts w:ascii="宋体" w:hAnsi="宋体" w:eastAsia="宋体"/>
                <w:sz w:val="21"/>
              </w:rPr>
              <w:t>留存型（多数，走水果轨）</w:t>
            </w:r>
          </w:p>
        </w:tc>
        <w:tc>
          <w:tcPr>
            <w:tcW w:w="2721" w:type="dxa"/>
          </w:tcPr>
          <w:p w14:paraId="79BA8064">
            <w:r>
              <w:rPr>
                <w:rFonts w:ascii="宋体" w:hAnsi="宋体" w:eastAsia="宋体"/>
                <w:sz w:val="21"/>
              </w:rPr>
              <w:t>广告曝光（浏览任务）+ 留存估值 + 助农叙事</w:t>
            </w:r>
          </w:p>
        </w:tc>
        <w:tc>
          <w:tcPr>
            <w:tcW w:w="1814" w:type="dxa"/>
          </w:tcPr>
          <w:p w14:paraId="6662B483">
            <w:r>
              <w:rPr>
                <w:rFonts w:ascii="宋体" w:hAnsi="宋体" w:eastAsia="宋体"/>
                <w:sz w:val="21"/>
              </w:rPr>
              <w:t>水果履约（约 5 元/箱）</w:t>
            </w:r>
          </w:p>
        </w:tc>
        <w:tc>
          <w:tcPr>
            <w:tcW w:w="2608" w:type="dxa"/>
          </w:tcPr>
          <w:p w14:paraId="1615A790">
            <w:r>
              <w:rPr>
                <w:rFonts w:ascii="宋体" w:hAnsi="宋体" w:eastAsia="宋体"/>
                <w:sz w:val="21"/>
              </w:rPr>
              <w:t>靠广告间接变现；单用户广告价值需 ≥ 水果摊销成本</w:t>
            </w:r>
          </w:p>
        </w:tc>
      </w:tr>
      <w:tr w14:paraId="5585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D013C47">
            <w:r>
              <w:rPr>
                <w:rFonts w:ascii="宋体" w:hAnsi="宋体" w:eastAsia="宋体"/>
                <w:sz w:val="21"/>
              </w:rPr>
              <w:t>转化型（少数，走商品轨）</w:t>
            </w:r>
          </w:p>
        </w:tc>
        <w:tc>
          <w:tcPr>
            <w:tcW w:w="2721" w:type="dxa"/>
          </w:tcPr>
          <w:p w14:paraId="5D02A4A0">
            <w:r>
              <w:rPr>
                <w:rFonts w:ascii="宋体" w:hAnsi="宋体" w:eastAsia="宋体"/>
                <w:sz w:val="21"/>
              </w:rPr>
              <w:t>券核销带来的增量 GMV × 抽佣</w:t>
            </w:r>
          </w:p>
        </w:tc>
        <w:tc>
          <w:tcPr>
            <w:tcW w:w="1814" w:type="dxa"/>
          </w:tcPr>
          <w:p w14:paraId="6359E3FC">
            <w:r>
              <w:rPr>
                <w:rFonts w:ascii="宋体" w:hAnsi="宋体" w:eastAsia="宋体"/>
                <w:sz w:val="21"/>
              </w:rPr>
              <w:t>券面额（账面折扣）</w:t>
            </w:r>
          </w:p>
        </w:tc>
        <w:tc>
          <w:tcPr>
            <w:tcW w:w="2608" w:type="dxa"/>
          </w:tcPr>
          <w:p w14:paraId="5D2165D4">
            <w:r>
              <w:rPr>
                <w:rFonts w:ascii="宋体" w:hAnsi="宋体" w:eastAsia="宋体"/>
                <w:sz w:val="21"/>
              </w:rPr>
              <w:t>直接变现；只要 G·m &gt; A 即盈利，且券成本远低于水果</w:t>
            </w:r>
          </w:p>
        </w:tc>
      </w:tr>
    </w:tbl>
    <w:p w14:paraId="59AAFF54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两群放在一起平均，会掩盖“留存型在靠广告硬撑、转化型在直接赚钱”的结构。分群后才看得清杠杆在哪——这也是下一节策略分歧的起点。</w:t>
      </w:r>
    </w:p>
    <w:p w14:paraId="34BB4A65">
      <w:pPr>
        <w:pStyle w:val="4"/>
        <w:keepNext/>
        <w:spacing w:before="240" w:after="80"/>
      </w:pPr>
      <w:bookmarkStart w:id="12" w:name="_Toc24620"/>
      <w:r>
        <w:rPr>
          <w:rFonts w:ascii="黑体" w:hAnsi="黑体" w:eastAsia="黑体"/>
          <w:b/>
          <w:color w:val="23303F"/>
          <w:sz w:val="25"/>
        </w:rPr>
        <w:t>7.4 资源位机会成本：算自己赚不赚，还要算是不是比放别的更赚</w:t>
      </w:r>
      <w:bookmarkEnd w:id="12"/>
    </w:p>
    <w:p w14:paraId="76703EE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前面所有单位经济都只算了“模块自己赚不赚”，漏了最贵的一项成本——流量机会成本。芭芭农场占着支付宝/淘宝首页的入口、Banner、Push 通道，这些坑位不是免费的：把同一个位置卖给直通车广告主，或换成“天猫超级品牌日”，同样能产生 GMV，还不用付水果。</w:t>
      </w:r>
    </w:p>
    <w:p w14:paraId="05911CD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所以引入“单位流量价值（RPM，Revenue per Mille）”对标。设农场占用的核心资源位日均曝光量为 X，若替换为直通车广告位预估 RPM 为 Y 元，则农场的隐形底线是：其带来的总商业价值（留存折算 + 归因 GMV + ESG 价值）必须 ≥ X·Y/1000。低于这条线，即便模块内部微利，从集团资源配置看仍是“战略性亏损”——它占了更赚钱的坑。本报告所有“盈利”判断，都应加一句前提：在资源位机会成本低于当前 RPM 的前提下成立。这条 RPM 红线也是第十节 Bet 的第二条护栏——降门槛后若模块总价值仍跑不赢资源位 RPM，则连“保留农场”本身都该被质疑，而不只是调门槛。</w:t>
      </w:r>
    </w:p>
    <w:p w14:paraId="0DB16FFF">
      <w:pPr>
        <w:pStyle w:val="3"/>
        <w:keepNext/>
        <w:spacing w:before="360" w:after="160"/>
      </w:pPr>
      <w:bookmarkStart w:id="13" w:name="_Toc26674"/>
      <w:r>
        <w:rPr>
          <w:rFonts w:ascii="黑体" w:hAnsi="黑体" w:eastAsia="黑体"/>
          <w:b/>
          <w:color w:val="1F2329"/>
          <w:sz w:val="30"/>
        </w:rPr>
        <w:t>八、分群策略与状态流转</w:t>
      </w:r>
      <w:bookmarkEnd w:id="13"/>
    </w:p>
    <w:p w14:paraId="7D9B0120">
      <w:pPr>
        <w:pStyle w:val="4"/>
        <w:keepNext/>
        <w:spacing w:before="240" w:after="80"/>
      </w:pPr>
      <w:bookmarkStart w:id="14" w:name="_Toc23248"/>
      <w:r>
        <w:rPr>
          <w:rFonts w:ascii="黑体" w:hAnsi="黑体" w:eastAsia="黑体"/>
          <w:b/>
          <w:color w:val="23303F"/>
          <w:sz w:val="25"/>
        </w:rPr>
        <w:t>8.1 留存型用户（多数）</w:t>
      </w:r>
      <w:bookmarkEnd w:id="14"/>
    </w:p>
    <w:p w14:paraId="23966216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他们够不到商品轨，价值主要来自做任务时产生的广告曝光和平台留存估值，成本是水果履约。对这群人，策略是稳定供给低门槛的水果轨 + 连续打卡（streak），把他们维持在“每日来一下”的节奏。不必强推转化——强推反而会因门槛过高导致挫败感而流失。</w:t>
      </w:r>
    </w:p>
    <w:p w14:paraId="0C1CBBEF">
      <w:pPr>
        <w:pStyle w:val="4"/>
        <w:keepNext/>
        <w:spacing w:before="240" w:after="80"/>
      </w:pPr>
      <w:bookmarkStart w:id="15" w:name="_Toc4890"/>
      <w:r>
        <w:rPr>
          <w:rFonts w:ascii="黑体" w:hAnsi="黑体" w:eastAsia="黑体"/>
          <w:b/>
          <w:color w:val="23303F"/>
          <w:sz w:val="25"/>
        </w:rPr>
        <w:t>8.2 转化型用户（少数）</w:t>
      </w:r>
      <w:bookmarkEnd w:id="15"/>
    </w:p>
    <w:p w14:paraId="120C940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他们够得到商品轨，价值来自核销 GMV，成本是券面额。这群人是模块内唯一直接赚钱的群体。策略分歧也在这里：是降低门槛让更多人进来转化，还是维持高门槛只筛高价值用户？这个选择不是显而易见的，正是后文 Bet 的靶点。</w:t>
      </w:r>
    </w:p>
    <w:p w14:paraId="00CC9A87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平均 ROI 会把“留存型在亏、转化型在赚”平均成一个不上不下的数，让管理者误以为“整体还行”。分群后才能问对问题：留存型的广告价值够不够覆盖水果成本？转化型的门槛该不该下调？商分的活，就是不让一个平均数糊弄掉结构。</w:t>
      </w:r>
    </w:p>
    <w:p w14:paraId="22A3D779">
      <w:pPr>
        <w:pStyle w:val="4"/>
        <w:keepNext/>
        <w:spacing w:before="240" w:after="80"/>
      </w:pPr>
      <w:bookmarkStart w:id="16" w:name="_Toc26939"/>
      <w:r>
        <w:rPr>
          <w:rFonts w:ascii="黑体" w:hAnsi="黑体" w:eastAsia="黑体"/>
          <w:b/>
          <w:color w:val="23303F"/>
          <w:sz w:val="25"/>
        </w:rPr>
        <w:t>8.3 用户状态流转与阈值的动态调节</w:t>
      </w:r>
      <w:bookmarkEnd w:id="16"/>
    </w:p>
    <w:p w14:paraId="3F0FD883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把用户静态分成“留存型/转化型”是截面思维，会漏掉最值钱的东西——流动。一个今天够不到商品轨的留存型用户，下个月可能因为领了红包或大促凑单，突然跨进转化型；一个兑完就走的转化型用户，下个月又可能沉回留存型。真实的运营杠杆不在“给谁发什么”，而在“让用户在什么状态下触达什么门槛”。</w:t>
      </w:r>
    </w:p>
    <w:p w14:paraId="5C280C12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建议以“累计浏览深度”和“近 7 天活跃度”构建二维矩阵，对每个象限给不同动作（见表4）。</w:t>
      </w:r>
    </w:p>
    <w:p w14:paraId="0E71FEE5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6　用户状态流转矩阵与触达策略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3241"/>
        <w:gridCol w:w="3241"/>
      </w:tblGrid>
      <w:tr w14:paraId="1015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3303F"/>
          </w:tcPr>
          <w:p w14:paraId="1700F722">
            <w:r>
              <w:rPr>
                <w:rFonts w:ascii="黑体" w:hAnsi="黑体" w:eastAsia="黑体"/>
                <w:b/>
                <w:color w:val="FFFFFF"/>
                <w:sz w:val="21"/>
              </w:rPr>
              <w:t>累计浏览深度 ＼ 近7天活跃</w:t>
            </w:r>
          </w:p>
        </w:tc>
        <w:tc>
          <w:tcPr>
            <w:tcW w:w="3402" w:type="dxa"/>
            <w:shd w:val="clear" w:color="auto" w:fill="23303F"/>
          </w:tcPr>
          <w:p w14:paraId="344CC719">
            <w:r>
              <w:rPr>
                <w:rFonts w:ascii="黑体" w:hAnsi="黑体" w:eastAsia="黑体"/>
                <w:b/>
                <w:color w:val="FFFFFF"/>
                <w:sz w:val="21"/>
              </w:rPr>
              <w:t>高活跃</w:t>
            </w:r>
          </w:p>
        </w:tc>
        <w:tc>
          <w:tcPr>
            <w:tcW w:w="3402" w:type="dxa"/>
            <w:shd w:val="clear" w:color="auto" w:fill="23303F"/>
          </w:tcPr>
          <w:p w14:paraId="2273C840">
            <w:r>
              <w:rPr>
                <w:rFonts w:ascii="黑体" w:hAnsi="黑体" w:eastAsia="黑体"/>
                <w:b/>
                <w:color w:val="FFFFFF"/>
                <w:sz w:val="21"/>
              </w:rPr>
              <w:t>低活跃</w:t>
            </w:r>
          </w:p>
        </w:tc>
      </w:tr>
      <w:tr w14:paraId="43D9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1F14A99">
            <w:r>
              <w:rPr>
                <w:rFonts w:ascii="宋体" w:hAnsi="宋体" w:eastAsia="宋体"/>
                <w:sz w:val="21"/>
              </w:rPr>
              <w:t>高浏览深度</w:t>
            </w:r>
          </w:p>
        </w:tc>
        <w:tc>
          <w:tcPr>
            <w:tcW w:w="3402" w:type="dxa"/>
          </w:tcPr>
          <w:p w14:paraId="3F1F383B">
            <w:r>
              <w:rPr>
                <w:rFonts w:ascii="宋体" w:hAnsi="宋体" w:eastAsia="宋体"/>
                <w:sz w:val="21"/>
              </w:rPr>
              <w:t>临门一脚券：再浏览 3 天送 5 元无门槛，推过转化阈值（金矿象限）</w:t>
            </w:r>
          </w:p>
        </w:tc>
        <w:tc>
          <w:tcPr>
            <w:tcW w:w="3402" w:type="dxa"/>
          </w:tcPr>
          <w:p w14:paraId="692B442D">
            <w:r>
              <w:rPr>
                <w:rFonts w:ascii="宋体" w:hAnsi="宋体" w:eastAsia="宋体"/>
                <w:sz w:val="21"/>
              </w:rPr>
              <w:t>趁热召回：深度已够，发限时券防止沉寂</w:t>
            </w:r>
          </w:p>
        </w:tc>
      </w:tr>
      <w:tr w14:paraId="34A0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5A66BE8">
            <w:r>
              <w:rPr>
                <w:rFonts w:ascii="宋体" w:hAnsi="宋体" w:eastAsia="宋体"/>
                <w:sz w:val="21"/>
              </w:rPr>
              <w:t>低浏览深度</w:t>
            </w:r>
          </w:p>
        </w:tc>
        <w:tc>
          <w:tcPr>
            <w:tcW w:w="3402" w:type="dxa"/>
          </w:tcPr>
          <w:p w14:paraId="06463ECC">
            <w:r>
              <w:rPr>
                <w:rFonts w:ascii="宋体" w:hAnsi="宋体" w:eastAsia="宋体"/>
                <w:sz w:val="21"/>
              </w:rPr>
              <w:t>习惯型：水果轨+签到维持，埋渐进浏览任务加深</w:t>
            </w:r>
          </w:p>
        </w:tc>
        <w:tc>
          <w:tcPr>
            <w:tcW w:w="3402" w:type="dxa"/>
          </w:tcPr>
          <w:p w14:paraId="6F9F8B52">
            <w:r>
              <w:rPr>
                <w:rFonts w:ascii="宋体" w:hAnsi="宋体" w:eastAsia="宋体"/>
                <w:sz w:val="21"/>
              </w:rPr>
              <w:t>沉睡型：低成本 push 试探，不浪费补贴</w:t>
            </w:r>
          </w:p>
        </w:tc>
      </w:tr>
    </w:tbl>
    <w:p w14:paraId="262F100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重点盯两个量：一是“留存→转化”的跃迁率，二是跃迁后 30 天的回流衰减曲线。跃迁后迅速沉寂，说明补贴浪费在一次性转化上；跃迁后持续活跃，说明用户价值层级真的提升了——后者才是降门槛 Bet 想要的结果。8.1/8.2 的静态分群只是起手，8.3 的流转矩阵才是日常运营要盯的盘。</w:t>
      </w:r>
    </w:p>
    <w:p w14:paraId="12E38FF2">
      <w:pPr>
        <w:pStyle w:val="3"/>
        <w:keepNext/>
        <w:spacing w:before="360" w:after="160"/>
      </w:pPr>
      <w:bookmarkStart w:id="17" w:name="_Toc7046"/>
      <w:r>
        <w:rPr>
          <w:rFonts w:ascii="黑体" w:hAnsi="黑体" w:eastAsia="黑体"/>
          <w:b/>
          <w:color w:val="1F2329"/>
          <w:sz w:val="30"/>
        </w:rPr>
        <w:t>九、问题洞察：被理论预言的流失悬崖</w:t>
      </w:r>
      <w:bookmarkEnd w:id="17"/>
    </w:p>
    <w:p w14:paraId="0CC04C49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用户在成功兑换一箱水果后，打开频率断崖式下跌。这个现象不用另找解释，它就是沉没成本效应的周期限定属性直接预言的：沉没成本在单个周期内把人锁死，可一旦果实收获、投入被兑现，周期重置，新周期里尚无新的沉没成本，人自然失去动力。</w:t>
      </w:r>
    </w:p>
    <w:p w14:paraId="1B393CD5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分群看会更清楚：流失悬崖主要发生在留存型用户的水果周期结束点；转化型用户因为持续够得到商品轨、不断有新的兑换目标，悬崖较弱。这给了一个重要提示——填平悬崖的关键，是在水果周期结束的瞬间立刻接上一个新目标，让沉没成本无缝续杯。</w:t>
      </w:r>
    </w:p>
    <w:p w14:paraId="4948A6B3">
      <w:pPr>
        <w:pStyle w:val="3"/>
        <w:keepNext/>
        <w:spacing w:before="360" w:after="160"/>
      </w:pPr>
      <w:bookmarkStart w:id="18" w:name="_Toc4491"/>
      <w:r>
        <w:rPr>
          <w:rFonts w:ascii="黑体" w:hAnsi="黑体" w:eastAsia="黑体"/>
          <w:b/>
          <w:color w:val="1F2329"/>
          <w:sz w:val="30"/>
        </w:rPr>
        <w:t>十、优化建议：一个带代价的判断</w:t>
      </w:r>
      <w:bookmarkEnd w:id="18"/>
    </w:p>
    <w:p w14:paraId="6AC88E16">
      <w:pPr>
        <w:shd w:val="clear" w:color="auto" w:fill="EAF2FF"/>
        <w:spacing w:before="160" w:after="160"/>
        <w:rPr>
          <w:rFonts w:ascii="宋体" w:hAnsi="宋体" w:eastAsia="宋体"/>
          <w:sz w:val="22"/>
        </w:rPr>
      </w:pPr>
      <w:r>
        <w:rPr>
          <w:rFonts w:ascii="宋体" w:hAnsi="宋体" w:eastAsia="宋体"/>
          <w:b/>
          <w:color w:val="0A6CFF"/>
          <w:sz w:val="22"/>
        </w:rPr>
        <w:t>策略判断（Bet，有条件）</w:t>
      </w:r>
      <w:r>
        <w:rPr>
          <w:rFonts w:ascii="宋体" w:hAnsi="宋体" w:eastAsia="宋体"/>
          <w:b/>
          <w:color w:val="0A6CFF"/>
          <w:sz w:val="22"/>
        </w:rPr>
        <w:br w:type="textWrapping"/>
      </w:r>
      <w:r>
        <w:rPr>
          <w:rFonts w:ascii="宋体" w:hAnsi="宋体" w:eastAsia="宋体"/>
          <w:sz w:val="22"/>
        </w:rPr>
        <w:t>芭芭农场未来 12 个月可尝试把重心从留存轨向转化轨迁移：下调商品兑换门槛（如从几万肥料降到一万出头），把原本“外溢在别处成交、无法归因”的 GMV，拉回模块内核销。但这个判断不默认成立——它成立的前提是：把 GMV 拉回模块内所获得的“转化标签”价值，大于为此多付出的券/水果补贴成本。若标签价值 &lt; 额外补贴成本，则不应降门槛，Bet 作废。</w:t>
      </w:r>
    </w:p>
    <w:p w14:paraId="7C663C01">
      <w:pPr>
        <w:spacing w:before="0" w:after="120"/>
        <w:ind w:firstLine="440"/>
        <w:rPr>
          <w:rFonts w:hint="eastAsia" w:ascii="宋体" w:hAnsi="宋体" w:eastAsia="宋体" w:cs="宋体"/>
          <w:b w:val="0"/>
          <w:sz w:val="22"/>
          <w:szCs w:val="22"/>
        </w:rPr>
      </w:pPr>
      <w:r>
        <w:rPr>
          <w:rFonts w:hint="eastAsia" w:ascii="宋体" w:hAnsi="宋体" w:eastAsia="宋体" w:cs="宋体"/>
          <w:caps w:val="0"/>
          <w:color w:val="0F1115"/>
          <w:spacing w:val="0"/>
          <w:sz w:val="22"/>
          <w:szCs w:val="22"/>
          <w:shd w:val="clear" w:fill="FFFFFF"/>
        </w:rPr>
        <w:t>降门槛后，新增的核销用户大部分来自原水果轨留存型（表2中④a→④b的跃迁）。这类用户原本的终局成本是水果履约（约5元/箱），跃迁后的终局成本是券面额（约2元）加可能增加的核销履约成本。若券面额≤水果成本，则每多一个跃迁用户，平台在终局补贴上净节省约3元/人。这部分‘补贴置换红利’应计入降门槛的收益侧，与转化标签LTV并列。即：降门槛的净收益 = 补贴置换红利（约3元/跃迁用户）+ 转化标签LTV - 额外补贴成本（针对原本就在转化轨的用户）</w:t>
      </w:r>
    </w:p>
    <w:p w14:paraId="16EC086D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这里有一段反直觉的推演，必须摆到台面上。外溢转化虽然“看不见”，但它省了水果/券成本——用户在农场看到商品、去主站下单，平台照赚抽佣，还不用付奖励。把它拉回模块内，等于把“轻量化外溢”变成“重补贴核销”，单位经济未必更优。所以下调门槛真正买的，不是“多几单核销 GMV”，而是“用户被打上了转化标签”——这个标签能用于后续精准追投（发复购券、推相似商品），抬升该用户的长期 LTV。换言之，P0 实验要测的核心不是核销率，而是“有标签用户未来 30 天的大盘复购率提升”。只有这个 LTV 增量盖过额外补贴，Bet 才成立。</w:t>
      </w:r>
    </w:p>
    <w:p w14:paraId="7B0E8592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落地路线图（每条绑 KPI）见表5。</w:t>
      </w:r>
    </w:p>
    <w:p w14:paraId="48EF44B1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7　优化建议落地路线图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2945"/>
        <w:gridCol w:w="2294"/>
        <w:gridCol w:w="2627"/>
      </w:tblGrid>
      <w:tr w14:paraId="5120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23303F"/>
          </w:tcPr>
          <w:p w14:paraId="6BC42BA5">
            <w:r>
              <w:rPr>
                <w:rFonts w:ascii="黑体" w:hAnsi="黑体" w:eastAsia="黑体"/>
                <w:b/>
                <w:color w:val="FFFFFF"/>
                <w:sz w:val="21"/>
              </w:rPr>
              <w:t>优先级</w:t>
            </w:r>
          </w:p>
        </w:tc>
        <w:tc>
          <w:tcPr>
            <w:tcW w:w="3061" w:type="dxa"/>
            <w:shd w:val="clear" w:color="auto" w:fill="23303F"/>
          </w:tcPr>
          <w:p w14:paraId="59D3832C">
            <w:r>
              <w:rPr>
                <w:rFonts w:ascii="黑体" w:hAnsi="黑体" w:eastAsia="黑体"/>
                <w:b/>
                <w:color w:val="FFFFFF"/>
                <w:sz w:val="21"/>
              </w:rPr>
              <w:t>动作</w:t>
            </w:r>
          </w:p>
        </w:tc>
        <w:tc>
          <w:tcPr>
            <w:tcW w:w="2381" w:type="dxa"/>
            <w:shd w:val="clear" w:color="auto" w:fill="23303F"/>
          </w:tcPr>
          <w:p w14:paraId="36D4837B">
            <w:r>
              <w:rPr>
                <w:rFonts w:ascii="黑体" w:hAnsi="黑体" w:eastAsia="黑体"/>
                <w:b/>
                <w:color w:val="FFFFFF"/>
                <w:sz w:val="21"/>
              </w:rPr>
              <w:t>经济机制</w:t>
            </w:r>
          </w:p>
        </w:tc>
        <w:tc>
          <w:tcPr>
            <w:tcW w:w="2721" w:type="dxa"/>
            <w:shd w:val="clear" w:color="auto" w:fill="23303F"/>
          </w:tcPr>
          <w:p w14:paraId="7620101D">
            <w:r>
              <w:rPr>
                <w:rFonts w:ascii="黑体" w:hAnsi="黑体" w:eastAsia="黑体"/>
                <w:b/>
                <w:color w:val="FFFFFF"/>
                <w:sz w:val="21"/>
              </w:rPr>
              <w:t>KPI</w:t>
            </w:r>
          </w:p>
        </w:tc>
      </w:tr>
      <w:tr w14:paraId="1283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02AACA9">
            <w:r>
              <w:rPr>
                <w:rFonts w:ascii="宋体" w:hAnsi="宋体" w:eastAsia="宋体"/>
                <w:sz w:val="21"/>
              </w:rPr>
              <w:t>P0</w:t>
            </w:r>
          </w:p>
        </w:tc>
        <w:tc>
          <w:tcPr>
            <w:tcW w:w="3061" w:type="dxa"/>
          </w:tcPr>
          <w:p w14:paraId="20064DB8">
            <w:r>
              <w:rPr>
                <w:rFonts w:ascii="宋体" w:hAnsi="宋体" w:eastAsia="宋体"/>
                <w:sz w:val="21"/>
              </w:rPr>
              <w:t>下调商品兑换门槛 + 同步上归因实验</w:t>
            </w:r>
          </w:p>
        </w:tc>
        <w:tc>
          <w:tcPr>
            <w:tcW w:w="2381" w:type="dxa"/>
          </w:tcPr>
          <w:p w14:paraId="1F506CD7">
            <w:r>
              <w:rPr>
                <w:rFonts w:ascii="宋体" w:hAnsi="宋体" w:eastAsia="宋体"/>
                <w:sz w:val="21"/>
              </w:rPr>
              <w:t>把外溢 GMV 转为可归因 GMV + 转化标签</w:t>
            </w:r>
          </w:p>
        </w:tc>
        <w:tc>
          <w:tcPr>
            <w:tcW w:w="2721" w:type="dxa"/>
          </w:tcPr>
          <w:p w14:paraId="2BC949C7">
            <w:r>
              <w:rPr>
                <w:rFonts w:ascii="宋体" w:hAnsi="宋体" w:eastAsia="宋体"/>
                <w:sz w:val="21"/>
              </w:rPr>
              <w:t>模块内核销率、增量 GMV、有标签用户30天复购率、水果轨留存+社媒负面提及率（护栏）</w:t>
            </w:r>
          </w:p>
        </w:tc>
      </w:tr>
      <w:tr w14:paraId="5CD7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147604D">
            <w:r>
              <w:rPr>
                <w:rFonts w:ascii="宋体" w:hAnsi="宋体" w:eastAsia="宋体"/>
                <w:sz w:val="21"/>
              </w:rPr>
              <w:t>P1</w:t>
            </w:r>
          </w:p>
        </w:tc>
        <w:tc>
          <w:tcPr>
            <w:tcW w:w="3061" w:type="dxa"/>
          </w:tcPr>
          <w:p w14:paraId="4812B031">
            <w:r>
              <w:rPr>
                <w:rFonts w:ascii="宋体" w:hAnsi="宋体" w:eastAsia="宋体"/>
                <w:sz w:val="21"/>
              </w:rPr>
              <w:t>赛季制：水果收获瞬间无缝开启新周期</w:t>
            </w:r>
          </w:p>
        </w:tc>
        <w:tc>
          <w:tcPr>
            <w:tcW w:w="2381" w:type="dxa"/>
          </w:tcPr>
          <w:p w14:paraId="63DFA4E5">
            <w:r>
              <w:rPr>
                <w:rFonts w:ascii="宋体" w:hAnsi="宋体" w:eastAsia="宋体"/>
                <w:sz w:val="21"/>
              </w:rPr>
              <w:t>填平流失悬崖，沉没成本续杯</w:t>
            </w:r>
          </w:p>
        </w:tc>
        <w:tc>
          <w:tcPr>
            <w:tcW w:w="2721" w:type="dxa"/>
          </w:tcPr>
          <w:p w14:paraId="1BF476FA">
            <w:r>
              <w:rPr>
                <w:rFonts w:ascii="宋体" w:hAnsi="宋体" w:eastAsia="宋体"/>
                <w:sz w:val="21"/>
              </w:rPr>
              <w:t>跨赛季连续参与率、7/30 留、Cohort 熨平度</w:t>
            </w:r>
          </w:p>
        </w:tc>
      </w:tr>
      <w:tr w14:paraId="206C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E9A043A">
            <w:r>
              <w:rPr>
                <w:rFonts w:ascii="宋体" w:hAnsi="宋体" w:eastAsia="宋体"/>
                <w:sz w:val="21"/>
              </w:rPr>
              <w:t>P2</w:t>
            </w:r>
          </w:p>
        </w:tc>
        <w:tc>
          <w:tcPr>
            <w:tcW w:w="3061" w:type="dxa"/>
          </w:tcPr>
          <w:p w14:paraId="3B195E30">
            <w:r>
              <w:rPr>
                <w:rFonts w:ascii="宋体" w:hAnsi="宋体" w:eastAsia="宋体"/>
                <w:sz w:val="21"/>
              </w:rPr>
              <w:t>成就勋章（第1/3/5箱或领券阈值）</w:t>
            </w:r>
          </w:p>
        </w:tc>
        <w:tc>
          <w:tcPr>
            <w:tcW w:w="2381" w:type="dxa"/>
          </w:tcPr>
          <w:p w14:paraId="2E0C2DCF">
            <w:r>
              <w:rPr>
                <w:rFonts w:ascii="宋体" w:hAnsi="宋体" w:eastAsia="宋体"/>
                <w:sz w:val="21"/>
              </w:rPr>
              <w:t>禀赋效应抬切换成本</w:t>
            </w:r>
          </w:p>
        </w:tc>
        <w:tc>
          <w:tcPr>
            <w:tcW w:w="2721" w:type="dxa"/>
          </w:tcPr>
          <w:p w14:paraId="4D60C842">
            <w:r>
              <w:rPr>
                <w:rFonts w:ascii="宋体" w:hAnsi="宋体" w:eastAsia="宋体"/>
                <w:sz w:val="21"/>
              </w:rPr>
              <w:t>勋章持有率、持有用户次月留存</w:t>
            </w:r>
          </w:p>
        </w:tc>
      </w:tr>
      <w:tr w14:paraId="496B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A9F9C62">
            <w:r>
              <w:rPr>
                <w:rFonts w:ascii="宋体" w:hAnsi="宋体" w:eastAsia="宋体"/>
                <w:sz w:val="21"/>
              </w:rPr>
              <w:t>P3</w:t>
            </w:r>
          </w:p>
        </w:tc>
        <w:tc>
          <w:tcPr>
            <w:tcW w:w="3061" w:type="dxa"/>
          </w:tcPr>
          <w:p w14:paraId="01A3BB46">
            <w:r>
              <w:rPr>
                <w:rFonts w:ascii="宋体" w:hAnsi="宋体" w:eastAsia="宋体"/>
                <w:sz w:val="21"/>
              </w:rPr>
              <w:t>动态任务定价：濒临流失时调高奖励</w:t>
            </w:r>
          </w:p>
        </w:tc>
        <w:tc>
          <w:tcPr>
            <w:tcW w:w="2381" w:type="dxa"/>
          </w:tcPr>
          <w:p w14:paraId="7169D3F2">
            <w:r>
              <w:rPr>
                <w:rFonts w:ascii="宋体" w:hAnsi="宋体" w:eastAsia="宋体"/>
                <w:sz w:val="21"/>
              </w:rPr>
              <w:t>留存套利</w:t>
            </w:r>
          </w:p>
        </w:tc>
        <w:tc>
          <w:tcPr>
            <w:tcW w:w="2721" w:type="dxa"/>
          </w:tcPr>
          <w:p w14:paraId="4BBEF717">
            <w:r>
              <w:rPr>
                <w:rFonts w:ascii="宋体" w:hAnsi="宋体" w:eastAsia="宋体"/>
                <w:sz w:val="21"/>
              </w:rPr>
              <w:t>濒流失用户召回率、边际补贴 ROI</w:t>
            </w:r>
          </w:p>
        </w:tc>
      </w:tr>
    </w:tbl>
    <w:p w14:paraId="4C74CA44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P0 是 Bet 的实验化落地，P1 是填悬崖的对症药，P2/P3 是中长期增强。四条不是并列，P0 决定方向，P1 决定留存下限，P2/P3 决定上限。</w:t>
      </w:r>
    </w:p>
    <w:p w14:paraId="04C6E58D">
      <w:pPr>
        <w:pStyle w:val="3"/>
        <w:keepNext/>
        <w:spacing w:before="360" w:after="160"/>
      </w:pPr>
      <w:bookmarkStart w:id="19" w:name="_Toc18426"/>
      <w:r>
        <w:rPr>
          <w:rFonts w:ascii="黑体" w:hAnsi="黑体" w:eastAsia="黑体"/>
          <w:b/>
          <w:color w:val="1F2329"/>
          <w:sz w:val="30"/>
        </w:rPr>
        <w:t>十一、A/B 与归因实验设计</w:t>
      </w:r>
      <w:bookmarkEnd w:id="19"/>
    </w:p>
    <w:p w14:paraId="5EF4801C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三组实验，每组都写清验证后单位经济的哪个参数会变。统一护栏：总激励成本、投诉率、退订率、社交媒体负面提及率；另设一条资源位红线——模块总价值不得低于资源位 RPM（见 7.4）。实验设计见表6。</w:t>
      </w:r>
    </w:p>
    <w:p w14:paraId="6B4A4B18">
      <w:pPr>
        <w:spacing w:before="160" w:after="60"/>
        <w:jc w:val="center"/>
      </w:pPr>
      <w:r>
        <w:rPr>
          <w:rFonts w:ascii="黑体" w:hAnsi="黑体" w:eastAsia="黑体"/>
          <w:b/>
          <w:color w:val="23303F"/>
          <w:sz w:val="21"/>
        </w:rPr>
        <w:t>表 8　A/B 与归因实验设计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2713"/>
        <w:gridCol w:w="2290"/>
        <w:gridCol w:w="2408"/>
      </w:tblGrid>
      <w:tr w14:paraId="6F89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shd w:val="clear" w:color="auto" w:fill="23303F"/>
          </w:tcPr>
          <w:p w14:paraId="580F1CDE">
            <w:r>
              <w:rPr>
                <w:rFonts w:ascii="黑体" w:hAnsi="黑体" w:eastAsia="黑体"/>
                <w:b/>
                <w:color w:val="FFFFFF"/>
                <w:sz w:val="21"/>
              </w:rPr>
              <w:t>实验</w:t>
            </w:r>
          </w:p>
        </w:tc>
        <w:tc>
          <w:tcPr>
            <w:tcW w:w="2835" w:type="dxa"/>
            <w:shd w:val="clear" w:color="auto" w:fill="23303F"/>
          </w:tcPr>
          <w:p w14:paraId="63267F3B">
            <w:r>
              <w:rPr>
                <w:rFonts w:ascii="黑体" w:hAnsi="黑体" w:eastAsia="黑体"/>
                <w:b/>
                <w:color w:val="FFFFFF"/>
                <w:sz w:val="21"/>
              </w:rPr>
              <w:t>分组（随机单元=用户）</w:t>
            </w:r>
          </w:p>
        </w:tc>
        <w:tc>
          <w:tcPr>
            <w:tcW w:w="2381" w:type="dxa"/>
            <w:shd w:val="clear" w:color="auto" w:fill="23303F"/>
          </w:tcPr>
          <w:p w14:paraId="6C36CC50">
            <w:r>
              <w:rPr>
                <w:rFonts w:ascii="黑体" w:hAnsi="黑体" w:eastAsia="黑体"/>
                <w:b/>
                <w:color w:val="FFFFFF"/>
                <w:sz w:val="21"/>
              </w:rPr>
              <w:t>主指标</w:t>
            </w:r>
          </w:p>
        </w:tc>
        <w:tc>
          <w:tcPr>
            <w:tcW w:w="2494" w:type="dxa"/>
            <w:shd w:val="clear" w:color="auto" w:fill="23303F"/>
          </w:tcPr>
          <w:p w14:paraId="4E194E5C">
            <w:r>
              <w:rPr>
                <w:rFonts w:ascii="黑体" w:hAnsi="黑体" w:eastAsia="黑体"/>
                <w:b/>
                <w:color w:val="FFFFFF"/>
                <w:sz w:val="21"/>
              </w:rPr>
              <w:t>验证后改变的参数</w:t>
            </w:r>
          </w:p>
        </w:tc>
      </w:tr>
      <w:tr w14:paraId="6816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7C7B06D">
            <w:r>
              <w:rPr>
                <w:rFonts w:ascii="宋体" w:hAnsi="宋体" w:eastAsia="宋体"/>
                <w:sz w:val="21"/>
              </w:rPr>
              <w:t>实验一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降门槛+标签LTV</w:t>
            </w:r>
          </w:p>
        </w:tc>
        <w:tc>
          <w:tcPr>
            <w:tcW w:w="2835" w:type="dxa"/>
          </w:tcPr>
          <w:p w14:paraId="66358092">
            <w:r>
              <w:rPr>
                <w:rFonts w:ascii="宋体" w:hAnsi="宋体" w:eastAsia="宋体"/>
                <w:sz w:val="21"/>
              </w:rPr>
              <w:t>A 组商品门槛降至 1 万，B 组维持几万</w:t>
            </w:r>
          </w:p>
        </w:tc>
        <w:tc>
          <w:tcPr>
            <w:tcW w:w="2381" w:type="dxa"/>
          </w:tcPr>
          <w:p w14:paraId="6178FEE9">
            <w:r>
              <w:rPr>
                <w:rFonts w:ascii="宋体" w:hAnsi="宋体" w:eastAsia="宋体"/>
                <w:sz w:val="21"/>
              </w:rPr>
              <w:t>模块内核销率、增量 GMV、有标签用户30天大盘复购率、水果轨留存+社媒负面提及率（护栏）</w:t>
            </w:r>
          </w:p>
        </w:tc>
        <w:tc>
          <w:tcPr>
            <w:tcW w:w="2494" w:type="dxa"/>
          </w:tcPr>
          <w:p w14:paraId="43102AFC">
            <w:r>
              <w:rPr>
                <w:rFonts w:ascii="宋体" w:hAnsi="宋体" w:eastAsia="宋体"/>
                <w:sz w:val="21"/>
              </w:rPr>
              <w:t>k↑；测标签 LTV 增量是否 &gt; 额外补贴成本——是则 Bet 成立，否则不降门槛</w:t>
            </w:r>
          </w:p>
        </w:tc>
      </w:tr>
      <w:tr w14:paraId="58A5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3577AD6">
            <w:r>
              <w:rPr>
                <w:rFonts w:ascii="宋体" w:hAnsi="宋体" w:eastAsia="宋体"/>
                <w:sz w:val="21"/>
              </w:rPr>
              <w:t>实验二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赛季制</w:t>
            </w:r>
          </w:p>
        </w:tc>
        <w:tc>
          <w:tcPr>
            <w:tcW w:w="2835" w:type="dxa"/>
          </w:tcPr>
          <w:p w14:paraId="5F1E0B8F">
            <w:r>
              <w:rPr>
                <w:rFonts w:ascii="宋体" w:hAnsi="宋体" w:eastAsia="宋体"/>
                <w:sz w:val="21"/>
              </w:rPr>
              <w:t>A 组收获后立即开新周期，B 组维持单次</w:t>
            </w:r>
          </w:p>
        </w:tc>
        <w:tc>
          <w:tcPr>
            <w:tcW w:w="2381" w:type="dxa"/>
          </w:tcPr>
          <w:p w14:paraId="54343468">
            <w:r>
              <w:rPr>
                <w:rFonts w:ascii="宋体" w:hAnsi="宋体" w:eastAsia="宋体"/>
                <w:sz w:val="21"/>
              </w:rPr>
              <w:t>7/30 留、跨赛季参与率、留存→转化跃迁率</w:t>
            </w:r>
          </w:p>
        </w:tc>
        <w:tc>
          <w:tcPr>
            <w:tcW w:w="2494" w:type="dxa"/>
          </w:tcPr>
          <w:p w14:paraId="2C0FB45D">
            <w:r>
              <w:rPr>
                <w:rFonts w:ascii="宋体" w:hAnsi="宋体" w:eastAsia="宋体"/>
                <w:sz w:val="21"/>
              </w:rPr>
              <w:t>留存型 LTV↑；流失悬崖被熨平；顺带观测跃迁率</w:t>
            </w:r>
          </w:p>
        </w:tc>
      </w:tr>
      <w:tr w14:paraId="65F0F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2ADA92D">
            <w:r>
              <w:rPr>
                <w:rFonts w:ascii="宋体" w:hAnsi="宋体" w:eastAsia="宋体"/>
                <w:sz w:val="21"/>
              </w:rPr>
              <w:t>实验三</w:t>
            </w:r>
            <w:r>
              <w:rPr>
                <w:rFonts w:ascii="宋体" w:hAnsi="宋体" w:eastAsia="宋体"/>
                <w:sz w:val="21"/>
              </w:rPr>
              <w:br w:type="textWrapping"/>
            </w:r>
            <w:r>
              <w:rPr>
                <w:rFonts w:ascii="宋体" w:hAnsi="宋体" w:eastAsia="宋体"/>
                <w:sz w:val="21"/>
              </w:rPr>
              <w:t>holdout 归因</w:t>
            </w:r>
          </w:p>
        </w:tc>
        <w:tc>
          <w:tcPr>
            <w:tcW w:w="2835" w:type="dxa"/>
          </w:tcPr>
          <w:p w14:paraId="3C104D63">
            <w:r>
              <w:rPr>
                <w:rFonts w:ascii="宋体" w:hAnsi="宋体" w:eastAsia="宋体"/>
                <w:sz w:val="21"/>
              </w:rPr>
              <w:t>5% 用户完全不发券作对照</w:t>
            </w:r>
          </w:p>
        </w:tc>
        <w:tc>
          <w:tcPr>
            <w:tcW w:w="2381" w:type="dxa"/>
          </w:tcPr>
          <w:p w14:paraId="4F844569">
            <w:r>
              <w:rPr>
                <w:rFonts w:ascii="宋体" w:hAnsi="宋体" w:eastAsia="宋体"/>
                <w:sz w:val="21"/>
              </w:rPr>
              <w:t>发券组 vs 对照组 GMV 差</w:t>
            </w:r>
          </w:p>
        </w:tc>
        <w:tc>
          <w:tcPr>
            <w:tcW w:w="2494" w:type="dxa"/>
          </w:tcPr>
          <w:p w14:paraId="228857F3">
            <w:r>
              <w:rPr>
                <w:rFonts w:ascii="宋体" w:hAnsi="宋体" w:eastAsia="宋体"/>
                <w:sz w:val="21"/>
              </w:rPr>
              <w:t>校准 G 的归因折扣，修正单位经济净收益</w:t>
            </w:r>
          </w:p>
        </w:tc>
      </w:tr>
    </w:tbl>
    <w:p w14:paraId="58595B9D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实验一最关键：它同时测“核销增量”和“标签 LTV”，直接回答 Bet 成立与否——这是把一个带代价的判断变成可证伪决策的核心。实验三最容易被跳过：没有它，前两个实验的 GMV 增益都说不清是真是假。把归因实验和业务实验绑在一起做，是这版报告相对一般产品拆解的增量。</w:t>
      </w:r>
    </w:p>
    <w:p w14:paraId="05F75BAF">
      <w:pPr>
        <w:pStyle w:val="3"/>
        <w:keepNext/>
        <w:spacing w:before="360" w:after="160"/>
      </w:pPr>
      <w:bookmarkStart w:id="20" w:name="_Toc23972"/>
      <w:r>
        <w:rPr>
          <w:rFonts w:ascii="黑体" w:hAnsi="黑体" w:eastAsia="黑体"/>
          <w:b/>
          <w:color w:val="1F2329"/>
          <w:sz w:val="30"/>
        </w:rPr>
        <w:t>十二、结论</w:t>
      </w:r>
      <w:bookmarkEnd w:id="20"/>
    </w:p>
    <w:p w14:paraId="59FEFB80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芭芭农场不是“领水果的小游戏”，而是一个用虚拟货币归集跨 APP 碎片化时间、再外溢变现的注意力做市商。它的全部经济性建立在“用户时间机会成本趋近于零”这个前提上；它用一种边际成本几乎为零的货币，交换了用户真实但闲置的时间。</w:t>
      </w:r>
    </w:p>
    <w:p w14:paraId="70543C4B">
      <w:pPr>
        <w:spacing w:before="0" w:after="120"/>
        <w:ind w:firstLine="440"/>
      </w:pPr>
      <w:r>
        <w:rPr>
          <w:rFonts w:ascii="宋体" w:hAnsi="宋体" w:eastAsia="宋体"/>
          <w:b w:val="0"/>
          <w:sz w:val="22"/>
        </w:rPr>
        <w:t>留存与转化的真实分界，不在水果与券之间，而在那条商品兑换门槛上。门槛高，大众停在水果轨，模块靠广告间接变现、靠助农叙事补足社会价值；门槛低，更多人走向核销，模块第一次有了能自证的账。我的判断是把这条门槛有控制地下调——但这是有条件的：只有当“把 GMV 拉回模块内换来的转化标签 LTV”大于“为此多付的补贴成本”时，降门槛才成立；否则外溢转化虽不可归因，却更省钱，不该动它。而无论门槛调不调，模块总价值都必须跑赢它所占资源位的 RPM，否则从集团看就是占了更赚钱的坑。</w:t>
      </w:r>
    </w:p>
    <w:p w14:paraId="326694A9">
      <w:pPr>
        <w:spacing w:before="0" w:after="120"/>
        <w:ind w:firstLine="440"/>
        <w:rPr>
          <w:rFonts w:hint="default" w:asciiTheme="minorEastAsia" w:hAnsiTheme="minorEastAsia" w:cstheme="minorEastAsia"/>
          <w:sz w:val="22"/>
          <w:szCs w:val="22"/>
        </w:rPr>
      </w:pPr>
      <w:r>
        <w:rPr>
          <w:rFonts w:ascii="宋体" w:hAnsi="宋体" w:eastAsia="宋体"/>
          <w:b w:val="0"/>
          <w:sz w:val="22"/>
        </w:rPr>
        <w:t>最后一句留给局限。模块级精确归因做不到，所有数字都是方向性的；行为机制是可检验假设而非定论。这份报告的价值不在给出确定答案，在于把该问的问题问对——问题定义、归因、分群、代价——把这些想清楚，比算出一个漂亮的 ROI 更接近商分本来该做的事。</w:t>
      </w:r>
      <w:bookmarkStart w:id="23" w:name="_GoBack"/>
      <w:bookmarkEnd w:id="23"/>
    </w:p>
    <w:p w14:paraId="3E4077CA">
      <w:pPr>
        <w:pStyle w:val="3"/>
        <w:keepNext/>
        <w:spacing w:before="360" w:after="160"/>
      </w:pPr>
      <w:bookmarkStart w:id="21" w:name="_Toc10869"/>
      <w:r>
        <w:rPr>
          <w:rFonts w:ascii="黑体" w:hAnsi="黑体" w:eastAsia="黑体"/>
          <w:b/>
          <w:color w:val="1F2329"/>
          <w:sz w:val="30"/>
        </w:rPr>
        <w:t>附录 A　方法论与局限性</w:t>
      </w:r>
      <w:bookmarkEnd w:id="21"/>
    </w:p>
    <w:p w14:paraId="1F041A90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事实基础为公开行业报道、平台规则说明与作者个人产品实测（截至 2026 年 8 月）；产品规则随版本迭代可能变动，数值以 APP 内为准。</w:t>
      </w:r>
    </w:p>
    <w:p w14:paraId="4813537F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商品兑换门槛“几万肥料”、日均可得“8–9 千”为作者实测时点的观察，不同用户/版本可能有差异，作为方向性判断使用。</w:t>
      </w:r>
    </w:p>
    <w:p w14:paraId="3E584FED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单位经济模型为方向性框架，关键参数 A、k、G、m 均为假设，须以埋点与归因实验校准；增量 GMV 的归因折扣是最大不确定性来源。</w:t>
      </w:r>
    </w:p>
    <w:p w14:paraId="2DE60EF0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资源位 RPM（X、Y）与“转化标签 LTV”同样为示意假设；RPM 对标需以集团广告系统实际成交价回填，标签 LTV 需以 30 天复购数据校准。</w:t>
      </w:r>
    </w:p>
    <w:p w14:paraId="59BD5E98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行为机制为可检验假设，建议以第十一节实验做因果验证；漏斗与分群比例为示意，需在岗后以真实数据回填。</w:t>
      </w:r>
    </w:p>
    <w:p w14:paraId="4FE91254">
      <w:pPr>
        <w:pStyle w:val="16"/>
        <w:spacing w:after="60"/>
        <w:ind w:left="425"/>
      </w:pPr>
      <w:r>
        <w:rPr>
          <w:rFonts w:ascii="宋体" w:hAnsi="宋体" w:eastAsia="宋体"/>
          <w:sz w:val="22"/>
        </w:rPr>
        <w:t>分析方法（问题定义、单位经济、归因、分群、受控实验）可用 SQL/Python 拉取埋点数据落地验证。</w:t>
      </w:r>
    </w:p>
    <w:p w14:paraId="58D035AC">
      <w:pPr>
        <w:pStyle w:val="3"/>
        <w:keepNext/>
        <w:spacing w:before="360" w:after="160"/>
      </w:pPr>
      <w:bookmarkStart w:id="22" w:name="_Toc12427"/>
      <w:r>
        <w:rPr>
          <w:rFonts w:ascii="黑体" w:hAnsi="黑体" w:eastAsia="黑体"/>
          <w:b/>
          <w:color w:val="1F2329"/>
          <w:sz w:val="30"/>
        </w:rPr>
        <w:t>附录 B　参考文献</w:t>
      </w:r>
      <w:bookmarkEnd w:id="22"/>
    </w:p>
    <w:p w14:paraId="50AF6042">
      <w:pPr>
        <w:spacing w:after="60"/>
        <w:ind w:left="283" w:hanging="283"/>
      </w:pPr>
      <w:r>
        <w:rPr>
          <w:rFonts w:ascii="宋体" w:hAnsi="宋体" w:eastAsia="宋体"/>
          <w:sz w:val="20"/>
        </w:rPr>
        <w:t>[1] 中国互联网络信息中心. 第56次中国互联网络发展状况统计报告[R]. 北京: CNNIC, 2025-06.</w:t>
      </w:r>
    </w:p>
    <w:p w14:paraId="0D0A71BB">
      <w:pPr>
        <w:spacing w:after="60"/>
        <w:ind w:left="283" w:hanging="283"/>
      </w:pPr>
      <w:r>
        <w:rPr>
          <w:rFonts w:ascii="宋体" w:hAnsi="宋体" w:eastAsia="宋体"/>
          <w:sz w:val="20"/>
        </w:rPr>
        <w:t>[2] 艾瑞咨询. 2025年电商行业获客成本研究报告[R/OL]. (2025)[2026-08]. 转引自行业综述. 头部电商单客获客成本300–500元。</w:t>
      </w:r>
    </w:p>
    <w:p w14:paraId="253A0B3A">
      <w:pPr>
        <w:spacing w:after="60"/>
        <w:ind w:left="283" w:hanging="283"/>
      </w:pPr>
      <w:r>
        <w:rPr>
          <w:rFonts w:ascii="宋体" w:hAnsi="宋体" w:eastAsia="宋体"/>
          <w:sz w:val="20"/>
        </w:rPr>
        <w:t>[3] 店宝宝. 淘宝芭芭农场在哪里？有什么作用？[EB/OL]. (2024)[2026-08]. 阳光兑换红包、满减券、商品券（如200阳光兑1元红包）。</w:t>
      </w:r>
    </w:p>
    <w:p w14:paraId="1F21B649">
      <w:pPr>
        <w:spacing w:after="60"/>
        <w:ind w:left="283" w:hanging="283"/>
      </w:pPr>
      <w:r>
        <w:rPr>
          <w:rFonts w:ascii="宋体" w:hAnsi="宋体" w:eastAsia="宋体"/>
          <w:sz w:val="20"/>
        </w:rPr>
        <w:t>[4] 淘宝卖家中心. 淘宝卖家怎么玩转芭芭农场[EB/OL]. (2024)[2026-08]. 用户浇水/任务积累能量兑换现金红包、优惠券。</w:t>
      </w:r>
    </w:p>
    <w:p w14:paraId="23C7E22A">
      <w:pPr>
        <w:spacing w:after="60"/>
        <w:ind w:left="283" w:hanging="283"/>
      </w:pPr>
      <w:r>
        <w:rPr>
          <w:rFonts w:ascii="宋体" w:hAnsi="宋体" w:eastAsia="宋体"/>
          <w:sz w:val="20"/>
        </w:rPr>
        <w:t>[5] 上游新闻. 打卡一个月领一箱免费水果，电商巨头的“免费水果生意”[N/OL]. 腾讯新闻, 2020-08. 肥料量级实测；每日兑换数十万单、月投入上千万。</w:t>
      </w:r>
    </w:p>
    <w:p w14:paraId="40DB8697">
      <w:pPr>
        <w:spacing w:after="60"/>
        <w:ind w:left="283" w:hanging="283"/>
      </w:pPr>
      <w:r>
        <w:rPr>
          <w:rFonts w:ascii="宋体" w:hAnsi="宋体" w:eastAsia="宋体"/>
          <w:sz w:val="20"/>
        </w:rPr>
        <w:t>[6] 人民网重庆频道. 打卡一月领箱水果 电商巨头“种水果”种的是啥[N/OL]. 2020-08. 代金券/红包核销、活跃度留存。</w:t>
      </w:r>
    </w:p>
    <w:p w14:paraId="1A85E1F1">
      <w:pPr>
        <w:spacing w:after="60"/>
        <w:ind w:left="283" w:hanging="283"/>
      </w:pPr>
      <w:r>
        <w:rPr>
          <w:rFonts w:ascii="宋体" w:hAnsi="宋体" w:eastAsia="宋体"/>
          <w:sz w:val="20"/>
        </w:rPr>
        <w:t>[7] 行业公开资料. 芭芭农场玩法说明[EB/OL]. (2025)[2026-08]. 0.01元包邮兑换水果、约15级成熟、红包树6天兑10元无门槛、合种加速。</w:t>
      </w:r>
    </w:p>
    <w:p w14:paraId="62FC9CB0">
      <w:pPr>
        <w:spacing w:after="60"/>
        <w:ind w:left="283" w:hanging="283"/>
      </w:pPr>
      <w:r>
        <w:rPr>
          <w:rFonts w:ascii="宋体" w:hAnsi="宋体" w:eastAsia="宋体"/>
          <w:sz w:val="20"/>
        </w:rPr>
        <w:t>[8] 余可洁. 支付宝芭芭农场产品实测观察[Z]. 2026-08. 商品兑换门槛约几万肥料、日均可得约8–9千；肥料来源跨淘宝浏览/蚂蚁庄园/蚂蚁森林/农场乐园/签到。</w:t>
      </w:r>
    </w:p>
    <w:p w14:paraId="4701A34C">
      <w:pPr>
        <w:spacing w:after="60"/>
        <w:ind w:left="283" w:hanging="283"/>
      </w:pPr>
      <w:r>
        <w:rPr>
          <w:rFonts w:ascii="宋体" w:hAnsi="宋体" w:eastAsia="宋体"/>
          <w:sz w:val="20"/>
        </w:rPr>
        <w:t>[9] 信息流广告投放费用公开标准[S/OL]. (2025)[2026-08]. 抖音CPM 4–10元、微信朋友圈50–180元、快手15–20元、电商CPC 0.2–0.5元/点击。</w:t>
      </w:r>
    </w:p>
    <w:p w14:paraId="7952D6D8"/>
    <w:p w14:paraId="65F4F223">
      <w:pPr>
        <w:jc w:val="center"/>
      </w:pPr>
      <w:r>
        <w:rPr>
          <w:rFonts w:ascii="宋体" w:hAnsi="宋体" w:eastAsia="宋体"/>
          <w:color w:val="808080"/>
          <w:sz w:val="18"/>
        </w:rPr>
        <w:t>本报告所有数值均标注假设或来源；产品机制以实际 APP 规则为准。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F38FF">
    <w:pPr>
      <w:pStyle w:val="24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</w:r>
    <w:r>
      <w:rPr>
        <w:rFonts w:ascii="宋体" w:hAnsi="宋体" w:eastAsia="宋体"/>
        <w:color w:val="808080"/>
        <w:sz w:val="18"/>
      </w:rPr>
      <w:instrText xml:space="preserve">PAGE</w:instrText>
    </w:r>
    <w:r>
      <w:rPr>
        <w:rFonts w:ascii="宋体" w:hAnsi="宋体" w:eastAsia="宋体"/>
        <w:color w:val="808080"/>
        <w:sz w:val="18"/>
      </w:rPr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074BB">
    <w:pPr>
      <w:pStyle w:val="25"/>
      <w:jc w:val="center"/>
    </w:pPr>
    <w:r>
      <w:rPr>
        <w:rFonts w:ascii="宋体" w:hAnsi="宋体" w:eastAsia="宋体"/>
        <w:color w:val="808080"/>
        <w:sz w:val="18"/>
      </w:rPr>
      <w:t>支付宝芭芭农场商业分析报告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4YzViNjU0Mzg5NjgxZGM0ZmRlN2Y5ZDI1YmY5OG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F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8399</Words>
  <Characters>9103</Characters>
  <Lines>0</Lines>
  <Paragraphs>0</Paragraphs>
  <TotalTime>7</TotalTime>
  <ScaleCrop>false</ScaleCrop>
  <LinksUpToDate>false</LinksUpToDate>
  <CharactersWithSpaces>9497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2026-08-16T12:42:08Z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5EDF27F416BA4D1C89F2857800826FAD_12</vt:lpwstr>
  </property>
</Properties>
</file>