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F6F56"/>
    <w:p w14:paraId="11E25FCB"/>
    <w:p w14:paraId="53949E6E"/>
    <w:p w14:paraId="5999545E">
      <w:pPr>
        <w:spacing w:before="0" w:after="40"/>
        <w:jc w:val="center"/>
      </w:pPr>
      <w:r>
        <w:rPr>
          <w:rFonts w:ascii="宋体" w:hAnsi="宋体" w:eastAsia="宋体"/>
          <w:b w:val="0"/>
          <w:color w:val="5B6470"/>
          <w:sz w:val="26"/>
        </w:rPr>
        <w:t>用户增长与运营分析报告</w:t>
      </w:r>
    </w:p>
    <w:p w14:paraId="0DF5A4E2">
      <w:pPr>
        <w:spacing w:before="0" w:after="480"/>
        <w:jc w:val="center"/>
      </w:pPr>
      <w:r>
        <w:rPr>
          <w:rFonts w:ascii="宋体" w:hAnsi="宋体" w:eastAsia="宋体"/>
          <w:b w:val="0"/>
          <w:color w:val="9AA0A6"/>
          <w:sz w:val="20"/>
        </w:rPr>
        <w:t>User Growth &amp; Operations Analysis</w:t>
      </w:r>
    </w:p>
    <w:p w14:paraId="056C50CE">
      <w:pPr>
        <w:spacing w:after="160"/>
        <w:jc w:val="center"/>
      </w:pPr>
      <w:r>
        <w:rPr>
          <w:rFonts w:ascii="黑体" w:hAnsi="黑体" w:eastAsia="黑体"/>
          <w:b/>
          <w:color w:val="1F2329"/>
          <w:sz w:val="44"/>
        </w:rPr>
        <w:t>“种”出来的交易</w:t>
      </w:r>
    </w:p>
    <w:p w14:paraId="3E7FC74E">
      <w:pPr>
        <w:spacing w:after="560"/>
        <w:jc w:val="center"/>
      </w:pPr>
      <w:r>
        <w:rPr>
          <w:rFonts w:ascii="黑体" w:hAnsi="黑体" w:eastAsia="黑体"/>
          <w:color w:val="333B43"/>
          <w:sz w:val="26"/>
        </w:rPr>
        <w:t>——支付宝芭芭农场的游戏化留存转化打法拆解与迁移</w:t>
      </w:r>
    </w:p>
    <w:p w14:paraId="214F0866">
      <w:pPr>
        <w:spacing w:before="0" w:after="800"/>
        <w:jc w:val="center"/>
      </w:pPr>
      <w:r>
        <w:rPr>
          <w:rFonts w:ascii="宋体" w:hAnsi="宋体" w:eastAsia="宋体"/>
          <w:b w:val="0"/>
          <w:color w:val="5B6470"/>
          <w:sz w:val="22"/>
        </w:rPr>
        <w:t>（用户增长 / 运营视角）</w:t>
      </w:r>
    </w:p>
    <w:p w14:paraId="51058245"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撰 写 人：余可洁</w:t>
      </w:r>
    </w:p>
    <w:p w14:paraId="1FB5A4EE"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院    校：吉林大学　经济学专业（2024 级）</w:t>
      </w:r>
    </w:p>
    <w:p w14:paraId="38C64D35"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撰写日期：2026 年 8 月</w:t>
      </w:r>
    </w:p>
    <w:p w14:paraId="1375AE74">
      <w:pPr>
        <w:spacing w:before="0" w:after="80"/>
        <w:jc w:val="center"/>
      </w:pPr>
      <w:r>
        <w:rPr>
          <w:rFonts w:ascii="宋体" w:hAnsi="宋体" w:eastAsia="宋体"/>
          <w:b w:val="0"/>
          <w:color w:val="5B6470"/>
          <w:sz w:val="21"/>
        </w:rPr>
        <w:t>分析视角：增长闭环(AARRR) × 行为经济学 × 可迁移运营方法论</w:t>
      </w:r>
    </w:p>
    <w:p w14:paraId="79E40421">
      <w:r>
        <w:br w:type="page"/>
      </w:r>
    </w:p>
    <w:p w14:paraId="3A0B532E">
      <w:pPr>
        <w:pStyle w:val="3"/>
        <w:keepNext/>
        <w:spacing w:before="360" w:after="160"/>
      </w:pPr>
      <w:bookmarkStart w:id="0" w:name="_Toc1295"/>
      <w:r>
        <w:rPr>
          <w:rFonts w:ascii="黑体" w:hAnsi="黑体" w:eastAsia="黑体"/>
          <w:b/>
          <w:color w:val="1F2329"/>
          <w:sz w:val="30"/>
        </w:rPr>
        <w:t>目录</w:t>
      </w:r>
      <w:bookmarkEnd w:id="0"/>
    </w:p>
    <w:p w14:paraId="48778A3B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begin"/>
      </w:r>
      <w:r>
        <w:instrText xml:space="preserve"> HYPERLINK \l _Toc1295 </w:instrText>
      </w:r>
      <w:r>
        <w:fldChar w:fldCharType="separate"/>
      </w:r>
      <w:r>
        <w:rPr>
          <w:rFonts w:ascii="黑体" w:hAnsi="黑体" w:eastAsia="黑体"/>
        </w:rPr>
        <w:t>目录</w:t>
      </w:r>
      <w:r>
        <w:tab/>
      </w:r>
      <w:r>
        <w:fldChar w:fldCharType="begin"/>
      </w:r>
      <w:r>
        <w:instrText xml:space="preserve"> PAGEREF _Toc1295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7E772B5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_Toc2581 </w:instrText>
      </w:r>
      <w:r>
        <w:fldChar w:fldCharType="separate"/>
      </w:r>
      <w:r>
        <w:rPr>
          <w:rFonts w:ascii="黑体" w:hAnsi="黑体" w:eastAsia="黑体"/>
        </w:rPr>
        <w:t>摘要</w:t>
      </w:r>
      <w:r>
        <w:tab/>
      </w:r>
      <w:r>
        <w:fldChar w:fldCharType="begin"/>
      </w:r>
      <w:r>
        <w:instrText xml:space="preserve"> PAGEREF _Toc2581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FA11B67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_Toc10149 </w:instrText>
      </w:r>
      <w:r>
        <w:fldChar w:fldCharType="separate"/>
      </w:r>
      <w:r>
        <w:rPr>
          <w:rFonts w:ascii="黑体" w:hAnsi="黑体" w:eastAsia="黑体"/>
        </w:rPr>
        <w:t>一、业务问题与运营视角</w:t>
      </w:r>
      <w:r>
        <w:tab/>
      </w:r>
      <w:r>
        <w:fldChar w:fldCharType="begin"/>
      </w:r>
      <w:r>
        <w:instrText xml:space="preserve"> PAGEREF _Toc10149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CA7FEFA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_Toc26808 </w:instrText>
      </w:r>
      <w:r>
        <w:fldChar w:fldCharType="separate"/>
      </w:r>
      <w:r>
        <w:rPr>
          <w:rFonts w:ascii="黑体" w:hAnsi="黑体" w:eastAsia="黑体"/>
        </w:rPr>
        <w:t>二、宏观前提：碎片化时间争夺战</w:t>
      </w:r>
      <w:r>
        <w:tab/>
      </w:r>
      <w:r>
        <w:fldChar w:fldCharType="begin"/>
      </w:r>
      <w:r>
        <w:instrText xml:space="preserve"> PAGEREF _Toc26808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C1EEAD4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_Toc14630 </w:instrText>
      </w:r>
      <w:r>
        <w:fldChar w:fldCharType="separate"/>
      </w:r>
      <w:r>
        <w:rPr>
          <w:rFonts w:ascii="黑体" w:hAnsi="黑体" w:eastAsia="黑体"/>
        </w:rPr>
        <w:t>三、增长闭环拆解：AARRR 与五段打法</w:t>
      </w:r>
      <w:r>
        <w:tab/>
      </w:r>
      <w:r>
        <w:fldChar w:fldCharType="begin"/>
      </w:r>
      <w:r>
        <w:instrText xml:space="preserve"> PAGEREF _Toc14630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D3C6A7A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_Toc10781 </w:instrText>
      </w:r>
      <w:r>
        <w:fldChar w:fldCharType="separate"/>
      </w:r>
      <w:r>
        <w:rPr>
          <w:rFonts w:ascii="黑体" w:hAnsi="黑体" w:eastAsia="黑体"/>
        </w:rPr>
        <w:t>四、从机制到动作：行为经济学翻译成运营语言</w:t>
      </w:r>
      <w:r>
        <w:tab/>
      </w:r>
      <w:r>
        <w:fldChar w:fldCharType="begin"/>
      </w:r>
      <w:r>
        <w:instrText xml:space="preserve"> PAGEREF _Toc10781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2874E42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_Toc6377 </w:instrText>
      </w:r>
      <w:r>
        <w:fldChar w:fldCharType="separate"/>
      </w:r>
      <w:r>
        <w:rPr>
          <w:rFonts w:ascii="黑体" w:hAnsi="黑体" w:eastAsia="黑体"/>
        </w:rPr>
        <w:t>五、留存 Playbook：赛季制、streak、禀赋勋章</w:t>
      </w:r>
      <w:r>
        <w:tab/>
      </w:r>
      <w:r>
        <w:fldChar w:fldCharType="begin"/>
      </w:r>
      <w:r>
        <w:instrText xml:space="preserve"> PAGEREF _Toc6377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AB91816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_Toc3613 </w:instrText>
      </w:r>
      <w:r>
        <w:fldChar w:fldCharType="separate"/>
      </w:r>
      <w:r>
        <w:rPr>
          <w:rFonts w:ascii="黑体" w:hAnsi="黑体" w:eastAsia="黑体"/>
        </w:rPr>
        <w:t>六、转化 Playbook：核销率提升与临门一脚券</w:t>
      </w:r>
      <w:r>
        <w:tab/>
      </w:r>
      <w:r>
        <w:fldChar w:fldCharType="begin"/>
      </w:r>
      <w:r>
        <w:instrText xml:space="preserve"> PAGEREF _Toc3613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13D70BC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_Toc5539 </w:instrText>
      </w:r>
      <w:r>
        <w:fldChar w:fldCharType="separate"/>
      </w:r>
      <w:r>
        <w:rPr>
          <w:rFonts w:ascii="黑体" w:hAnsi="黑体" w:eastAsia="黑体"/>
        </w:rPr>
        <w:t>七、用户状态流转运营</w:t>
      </w:r>
      <w:r>
        <w:tab/>
      </w:r>
      <w:r>
        <w:fldChar w:fldCharType="begin"/>
      </w:r>
      <w:r>
        <w:instrText xml:space="preserve"> PAGEREF _Toc5539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72759D4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_Toc1502 </w:instrText>
      </w:r>
      <w:r>
        <w:fldChar w:fldCharType="separate"/>
      </w:r>
      <w:r>
        <w:rPr>
          <w:rFonts w:ascii="黑体" w:hAnsi="黑体" w:eastAsia="黑体"/>
        </w:rPr>
        <w:t>八、活动节奏与资源效率</w:t>
      </w:r>
      <w:r>
        <w:tab/>
      </w:r>
      <w:r>
        <w:fldChar w:fldCharType="begin"/>
      </w:r>
      <w:r>
        <w:instrText xml:space="preserve"> PAGEREF _Toc1502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90E5B67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_Toc11320 </w:instrText>
      </w:r>
      <w:r>
        <w:fldChar w:fldCharType="separate"/>
      </w:r>
      <w:r>
        <w:rPr>
          <w:rFonts w:ascii="黑体" w:hAnsi="黑体" w:eastAsia="黑体"/>
        </w:rPr>
        <w:t>九、数据复盘口径</w:t>
      </w:r>
      <w:r>
        <w:tab/>
      </w:r>
      <w:r>
        <w:fldChar w:fldCharType="begin"/>
      </w:r>
      <w:r>
        <w:instrText xml:space="preserve"> PAGEREF _Toc11320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76FD4A4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_Toc29110 </w:instrText>
      </w:r>
      <w:r>
        <w:fldChar w:fldCharType="separate"/>
      </w:r>
      <w:r>
        <w:rPr>
          <w:rFonts w:ascii="黑体" w:hAnsi="黑体" w:eastAsia="黑体"/>
        </w:rPr>
        <w:t>十、方法论迁移性：这套打法能用到哪些运营岗</w:t>
      </w:r>
      <w:r>
        <w:tab/>
      </w:r>
      <w:r>
        <w:fldChar w:fldCharType="begin"/>
      </w:r>
      <w:r>
        <w:instrText xml:space="preserve"> PAGEREF _Toc29110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7F6E519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_Toc24198 </w:instrText>
      </w:r>
      <w:r>
        <w:fldChar w:fldCharType="separate"/>
      </w:r>
      <w:r>
        <w:rPr>
          <w:rFonts w:ascii="黑体" w:hAnsi="黑体" w:eastAsia="黑体"/>
        </w:rPr>
        <w:t>十一、结论</w:t>
      </w:r>
      <w:r>
        <w:tab/>
      </w:r>
      <w:r>
        <w:fldChar w:fldCharType="begin"/>
      </w:r>
      <w:r>
        <w:instrText xml:space="preserve"> PAGEREF _Toc24198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3C3A76F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_Toc27500 </w:instrText>
      </w:r>
      <w:r>
        <w:fldChar w:fldCharType="separate"/>
      </w:r>
      <w:r>
        <w:rPr>
          <w:rFonts w:ascii="黑体" w:hAnsi="黑体" w:eastAsia="黑体"/>
        </w:rPr>
        <w:t>附录 A　方法论与局限性</w:t>
      </w:r>
      <w:r>
        <w:tab/>
      </w:r>
      <w:r>
        <w:fldChar w:fldCharType="begin"/>
      </w:r>
      <w:r>
        <w:instrText xml:space="preserve"> PAGEREF _Toc27500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DBE14A2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_Toc26924 </w:instrText>
      </w:r>
      <w:r>
        <w:fldChar w:fldCharType="separate"/>
      </w:r>
      <w:r>
        <w:rPr>
          <w:rFonts w:ascii="黑体" w:hAnsi="黑体" w:eastAsia="黑体"/>
        </w:rPr>
        <w:t>附录 B　参考文献</w:t>
      </w:r>
      <w:r>
        <w:tab/>
      </w:r>
      <w:r>
        <w:fldChar w:fldCharType="begin"/>
      </w:r>
      <w:r>
        <w:instrText xml:space="preserve"> PAGEREF _Toc26924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1F167A8">
      <w:r>
        <w:fldChar w:fldCharType="end"/>
      </w:r>
    </w:p>
    <w:p w14:paraId="1B3CA8D3">
      <w:r>
        <w:br w:type="page"/>
      </w:r>
    </w:p>
    <w:p w14:paraId="3BE3BFD8">
      <w:pPr>
        <w:pStyle w:val="3"/>
        <w:keepNext/>
        <w:spacing w:before="360" w:after="160"/>
      </w:pPr>
      <w:bookmarkStart w:id="1" w:name="_Toc2581"/>
      <w:r>
        <w:rPr>
          <w:rFonts w:ascii="黑体" w:hAnsi="黑体" w:eastAsia="黑体"/>
          <w:b/>
          <w:color w:val="1F2329"/>
          <w:sz w:val="30"/>
        </w:rPr>
        <w:t>摘要</w:t>
      </w:r>
      <w:bookmarkEnd w:id="1"/>
    </w:p>
    <w:p w14:paraId="21714EA1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芭芭农场是支付宝/淘</w:t>
      </w:r>
      <w:bookmarkStart w:id="15" w:name="_GoBack"/>
      <w:bookmarkEnd w:id="15"/>
      <w:r>
        <w:rPr>
          <w:rFonts w:ascii="宋体" w:hAnsi="宋体" w:eastAsia="宋体"/>
          <w:b w:val="0"/>
          <w:sz w:val="22"/>
        </w:rPr>
        <w:t>宝内的游戏化留存转化模块。本文从运营视角，把它当作一个可拆解、可迁移的“游戏化留存转化打法”案例：用五段增长闭环（钩子→习惯→沉没→转化→续杯）还原其机制，并提炼出可直接上手的留存 Playbook、转化 Playbook、用户状态流转运营、活动节奏与数据复盘口径。区别于商业分析版重在“判断与算账”，本版重在“操盘与执行”——每条建议都配 SOP、KPI、前置条件与止损线，规避“建议空转”。核心主张是：运营岗的壁垒不在某个具体玩法，而在把用户心理（沉没成本、目标梯度、变比率、交易效用）沉淀为可重复、可监控、可迁移的运营机制；芭芭农场这套打法，可迁移到用户增长、活动、内容、社群、电商、会员等大部分运营岗。</w:t>
      </w:r>
    </w:p>
    <w:p w14:paraId="395DB8B0">
      <w:pPr>
        <w:spacing w:before="80" w:after="120"/>
      </w:pPr>
      <w:r>
        <w:rPr>
          <w:rFonts w:ascii="宋体" w:hAnsi="宋体" w:eastAsia="宋体"/>
          <w:b/>
          <w:sz w:val="21"/>
        </w:rPr>
        <w:t>关键词：游戏化运营；留存Playbook；转化Playbook；AARRR；用户状态流转；方法论迁移</w:t>
      </w:r>
    </w:p>
    <w:p w14:paraId="7EA042E7">
      <w:pPr>
        <w:pStyle w:val="3"/>
        <w:keepNext/>
        <w:spacing w:before="360" w:after="160"/>
      </w:pPr>
      <w:bookmarkStart w:id="2" w:name="_Toc10149"/>
      <w:r>
        <w:rPr>
          <w:rFonts w:ascii="黑体" w:hAnsi="黑体" w:eastAsia="黑体"/>
          <w:b/>
          <w:color w:val="1F2329"/>
          <w:sz w:val="30"/>
        </w:rPr>
        <w:t>一、业务问题与运营视角</w:t>
      </w:r>
      <w:bookmarkEnd w:id="2"/>
    </w:p>
    <w:p w14:paraId="6FB73B34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运营看芭芭农场，看的不是“它赚不赚钱”，而是“它的打法我能不能学来用”。这是一个关键视角差异：商业分析算账，运营操盘。</w:t>
      </w:r>
    </w:p>
    <w:p w14:paraId="4D1E47D0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运营岗的现实是壁垒不高、玩法迭代快、方法论容易过期。所以一份成熟的运营报告，不该停在“我分析了这个产品”，而该落到“我从这个产品里抽出了一套能迁移的操盘方法”。成熟的大厂 HR 看运营报告，通常用三把尺：一是会不会拆闭环（系统思维），二是会不会落地（有没有 SOP，而不是空喊“建议做 X”），三是方法论能不能迁移（抽象能力）。本报告按这三把尺组织。</w:t>
      </w:r>
    </w:p>
    <w:p w14:paraId="61A347BB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边界先行：模块级内部数据不可得，文中数值为示意；SOP 是框架，具体阈值（如推送频次、奖励面额）需上岗后用数据校准。文中每个运营动作都带前置条件与止损线，避免“看起来都能做、上线全翻车”。</w:t>
      </w:r>
    </w:p>
    <w:p w14:paraId="05885601">
      <w:pPr>
        <w:pStyle w:val="3"/>
        <w:keepNext/>
        <w:spacing w:before="360" w:after="160"/>
      </w:pPr>
      <w:bookmarkStart w:id="3" w:name="_Toc26808"/>
      <w:r>
        <w:rPr>
          <w:rFonts w:ascii="黑体" w:hAnsi="黑体" w:eastAsia="黑体"/>
          <w:b/>
          <w:color w:val="1F2329"/>
          <w:sz w:val="30"/>
        </w:rPr>
        <w:t>二、宏观前提：碎片化时间争夺战</w:t>
      </w:r>
      <w:bookmarkEnd w:id="3"/>
    </w:p>
    <w:p w14:paraId="1BB6D033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芭芭农场的本质，是用一箱水果收购用户的碎片化时间。这套打法成立的前提，是用户有大量低机会成本时间——那十几分钟本来也要被刷掉，平台才用一箱水果把它“买”过来。</w:t>
      </w:r>
    </w:p>
    <w:p w14:paraId="285BBA3C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对运营的含义很直接：你是在跟短视频、短剧、直播抢同一批碎片化时间。你的留存打法，本质上是在这场“时间争夺战”里给用户一个“每天来一下”的理由。芭芭农场给的理由是免费水果，你负责的业务可能是别的钩子，但底层逻辑一样。</w:t>
      </w:r>
    </w:p>
    <w:p w14:paraId="4466129A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延伸一点：如果目标人群的时间被更多产品争夺，你的钩子能买到的时间会变少。所以留存打法不能吃老本，钩子要持续升级——这也是后文赛季制要做的事。</w:t>
      </w:r>
    </w:p>
    <w:p w14:paraId="1EB516E6">
      <w:pPr>
        <w:pStyle w:val="3"/>
        <w:keepNext/>
        <w:spacing w:before="360" w:after="160"/>
      </w:pPr>
      <w:bookmarkStart w:id="4" w:name="_Toc14630"/>
      <w:r>
        <w:rPr>
          <w:rFonts w:ascii="黑体" w:hAnsi="黑体" w:eastAsia="黑体"/>
          <w:b/>
          <w:color w:val="1F2329"/>
          <w:sz w:val="30"/>
        </w:rPr>
        <w:t>三、增长闭环拆解：AARRR 与五段打法</w:t>
      </w:r>
      <w:bookmarkEnd w:id="4"/>
    </w:p>
    <w:p w14:paraId="2DFBA027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把芭芭农场映射到 AARRR，得到一张完整的增长闭环（见下表）。它的价值不在某个环节，而在五段首尾相扣。</w:t>
      </w:r>
    </w:p>
    <w:p w14:paraId="796CF638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1　芭芭农场的 AARRR 增长闭环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3315"/>
        <w:gridCol w:w="4081"/>
      </w:tblGrid>
      <w:tr w14:paraId="48D61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74" w:type="dxa"/>
            <w:shd w:val="clear" w:color="auto" w:fill="23303F"/>
          </w:tcPr>
          <w:p w14:paraId="49F04469">
            <w:r>
              <w:rPr>
                <w:rFonts w:ascii="黑体" w:hAnsi="黑体" w:eastAsia="黑体"/>
                <w:b/>
                <w:color w:val="FFFFFF"/>
                <w:sz w:val="21"/>
              </w:rPr>
              <w:t>AARRR</w:t>
            </w:r>
          </w:p>
        </w:tc>
        <w:tc>
          <w:tcPr>
            <w:tcW w:w="3402" w:type="dxa"/>
            <w:shd w:val="clear" w:color="auto" w:fill="23303F"/>
          </w:tcPr>
          <w:p w14:paraId="160F4286">
            <w:r>
              <w:rPr>
                <w:rFonts w:ascii="黑体" w:hAnsi="黑体" w:eastAsia="黑体"/>
                <w:b/>
                <w:color w:val="FFFFFF"/>
                <w:sz w:val="21"/>
              </w:rPr>
              <w:t>芭芭农场对应动作</w:t>
            </w:r>
          </w:p>
        </w:tc>
        <w:tc>
          <w:tcPr>
            <w:tcW w:w="4195" w:type="dxa"/>
            <w:shd w:val="clear" w:color="auto" w:fill="23303F"/>
          </w:tcPr>
          <w:p w14:paraId="0607BC47">
            <w:r>
              <w:rPr>
                <w:rFonts w:ascii="黑体" w:hAnsi="黑体" w:eastAsia="黑体"/>
                <w:b/>
                <w:color w:val="FFFFFF"/>
                <w:sz w:val="21"/>
              </w:rPr>
              <w:t>可迁移的运营动作</w:t>
            </w:r>
          </w:p>
        </w:tc>
      </w:tr>
      <w:tr w14:paraId="42354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2C8CA16">
            <w:r>
              <w:rPr>
                <w:rFonts w:ascii="宋体" w:hAnsi="宋体" w:eastAsia="宋体"/>
                <w:sz w:val="21"/>
              </w:rPr>
              <w:t>获取 Acquire</w:t>
            </w:r>
          </w:p>
        </w:tc>
        <w:tc>
          <w:tcPr>
            <w:tcW w:w="3402" w:type="dxa"/>
          </w:tcPr>
          <w:p w14:paraId="2C399BA0">
            <w:r>
              <w:rPr>
                <w:rFonts w:ascii="宋体" w:hAnsi="宋体" w:eastAsia="宋体"/>
                <w:sz w:val="21"/>
              </w:rPr>
              <w:t>支付宝大盘导流（支付/账单场景入口）</w:t>
            </w:r>
          </w:p>
        </w:tc>
        <w:tc>
          <w:tcPr>
            <w:tcW w:w="4195" w:type="dxa"/>
          </w:tcPr>
          <w:p w14:paraId="3BACC4CC">
            <w:r>
              <w:rPr>
                <w:rFonts w:ascii="宋体" w:hAnsi="宋体" w:eastAsia="宋体"/>
                <w:sz w:val="21"/>
              </w:rPr>
              <w:t>用高频场景做钩子，导流到增长模块</w:t>
            </w:r>
          </w:p>
        </w:tc>
      </w:tr>
      <w:tr w14:paraId="37679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3B9F6E7">
            <w:r>
              <w:rPr>
                <w:rFonts w:ascii="宋体" w:hAnsi="宋体" w:eastAsia="宋体"/>
                <w:sz w:val="21"/>
              </w:rPr>
              <w:t>激活 Activate</w:t>
            </w:r>
          </w:p>
        </w:tc>
        <w:tc>
          <w:tcPr>
            <w:tcW w:w="3402" w:type="dxa"/>
          </w:tcPr>
          <w:p w14:paraId="557E6396">
            <w:r>
              <w:rPr>
                <w:rFonts w:ascii="宋体" w:hAnsi="宋体" w:eastAsia="宋体"/>
                <w:sz w:val="21"/>
              </w:rPr>
              <w:t>首次浇水即时进度反馈</w:t>
            </w:r>
          </w:p>
        </w:tc>
        <w:tc>
          <w:tcPr>
            <w:tcW w:w="4195" w:type="dxa"/>
          </w:tcPr>
          <w:p w14:paraId="53F1312B">
            <w:r>
              <w:rPr>
                <w:rFonts w:ascii="宋体" w:hAnsi="宋体" w:eastAsia="宋体"/>
                <w:sz w:val="21"/>
              </w:rPr>
              <w:t>新用户首登即给“可见进展”，降低激活门槛</w:t>
            </w:r>
          </w:p>
        </w:tc>
      </w:tr>
      <w:tr w14:paraId="35DDC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190FB50">
            <w:r>
              <w:rPr>
                <w:rFonts w:ascii="宋体" w:hAnsi="宋体" w:eastAsia="宋体"/>
                <w:sz w:val="21"/>
              </w:rPr>
              <w:t>留存 Retain</w:t>
            </w:r>
          </w:p>
        </w:tc>
        <w:tc>
          <w:tcPr>
            <w:tcW w:w="3402" w:type="dxa"/>
          </w:tcPr>
          <w:p w14:paraId="727B5C87">
            <w:r>
              <w:rPr>
                <w:rFonts w:ascii="宋体" w:hAnsi="宋体" w:eastAsia="宋体"/>
                <w:sz w:val="21"/>
              </w:rPr>
              <w:t>沉没成本 + streak + 赛季制</w:t>
            </w:r>
          </w:p>
        </w:tc>
        <w:tc>
          <w:tcPr>
            <w:tcW w:w="4195" w:type="dxa"/>
          </w:tcPr>
          <w:p w14:paraId="7304BAAA">
            <w:r>
              <w:rPr>
                <w:rFonts w:ascii="宋体" w:hAnsi="宋体" w:eastAsia="宋体"/>
                <w:sz w:val="21"/>
              </w:rPr>
              <w:t>设计连续目标周期，避免单周期结束后流失</w:t>
            </w:r>
          </w:p>
        </w:tc>
      </w:tr>
      <w:tr w14:paraId="4DF1D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7BF35B6">
            <w:r>
              <w:rPr>
                <w:rFonts w:ascii="宋体" w:hAnsi="宋体" w:eastAsia="宋体"/>
                <w:sz w:val="21"/>
              </w:rPr>
              <w:t>变现 Revenue</w:t>
            </w:r>
          </w:p>
        </w:tc>
        <w:tc>
          <w:tcPr>
            <w:tcW w:w="3402" w:type="dxa"/>
          </w:tcPr>
          <w:p w14:paraId="2F951CA4">
            <w:r>
              <w:rPr>
                <w:rFonts w:ascii="宋体" w:hAnsi="宋体" w:eastAsia="宋体"/>
                <w:sz w:val="21"/>
              </w:rPr>
              <w:t>券核销 + 浏览导购曝光</w:t>
            </w:r>
          </w:p>
        </w:tc>
        <w:tc>
          <w:tcPr>
            <w:tcW w:w="4195" w:type="dxa"/>
          </w:tcPr>
          <w:p w14:paraId="0D7B77F9">
            <w:r>
              <w:rPr>
                <w:rFonts w:ascii="宋体" w:hAnsi="宋体" w:eastAsia="宋体"/>
                <w:sz w:val="21"/>
              </w:rPr>
              <w:t>用超高交易效用促成首单；转化大多外溢在别处成交</w:t>
            </w:r>
          </w:p>
        </w:tc>
      </w:tr>
      <w:tr w14:paraId="1A3D0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BA52F7E">
            <w:r>
              <w:rPr>
                <w:rFonts w:ascii="宋体" w:hAnsi="宋体" w:eastAsia="宋体"/>
                <w:sz w:val="21"/>
              </w:rPr>
              <w:t>自传播 Refer</w:t>
            </w:r>
          </w:p>
        </w:tc>
        <w:tc>
          <w:tcPr>
            <w:tcW w:w="3402" w:type="dxa"/>
          </w:tcPr>
          <w:p w14:paraId="60F0CFEB">
            <w:r>
              <w:rPr>
                <w:rFonts w:ascii="宋体" w:hAnsi="宋体" w:eastAsia="宋体"/>
                <w:sz w:val="21"/>
              </w:rPr>
              <w:t>合种、分享加速</w:t>
            </w:r>
          </w:p>
        </w:tc>
        <w:tc>
          <w:tcPr>
            <w:tcW w:w="4195" w:type="dxa"/>
          </w:tcPr>
          <w:p w14:paraId="2DD17542">
            <w:r>
              <w:rPr>
                <w:rFonts w:ascii="宋体" w:hAnsi="宋体" w:eastAsia="宋体"/>
                <w:sz w:val="21"/>
              </w:rPr>
              <w:t>轻度社交（非强裂变）撬动自然传播</w:t>
            </w:r>
          </w:p>
        </w:tc>
      </w:tr>
    </w:tbl>
    <w:p w14:paraId="2861221E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把这五段抽象出来，就是可迁移的核心：钩子（低门槛奖励）→ 习惯（每日打卡）→ 沉没（持续投入）→ 转化（超高交易效用下单）→ 续杯（赛季制重置目标）。任何需要同时做留存和转化的运营业务，都能往这五段里套。</w:t>
      </w:r>
    </w:p>
    <w:p w14:paraId="7BBCF72A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漏斗上还有一个运营必须承认的事实：转化大多外溢在别处成交——用户在攒肥料路上浏览了商品，过几天在淘宝直接下单，账不记在农场头上。所以别把“模块内核销”当成转化的全部 KPI，否则会低估真实价值，也会错估打法的健康度（见第九章归因口径）。</w:t>
      </w:r>
    </w:p>
    <w:p w14:paraId="678E8476">
      <w:pPr>
        <w:pStyle w:val="3"/>
        <w:keepNext/>
        <w:spacing w:before="360" w:after="160"/>
      </w:pPr>
      <w:bookmarkStart w:id="5" w:name="_Toc10781"/>
      <w:r>
        <w:rPr>
          <w:rFonts w:ascii="黑体" w:hAnsi="黑体" w:eastAsia="黑体"/>
          <w:b/>
          <w:color w:val="1F2329"/>
          <w:sz w:val="30"/>
        </w:rPr>
        <w:t>四、从机制到动作：行为经济学翻译成运营语言</w:t>
      </w:r>
      <w:bookmarkEnd w:id="5"/>
    </w:p>
    <w:p w14:paraId="2E93F7B6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四个行为机制不是用来“显得专业”的，每一个都能直接翻译成一个可执行的运营动作（见下表）。运营要做的，是让机制落到具体的产品/活动配置上。</w:t>
      </w:r>
    </w:p>
    <w:p w14:paraId="7739705D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2　行为机制到运营动作的翻译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1555"/>
        <w:gridCol w:w="2220"/>
        <w:gridCol w:w="3753"/>
      </w:tblGrid>
      <w:tr w14:paraId="22DB4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23303F"/>
          </w:tcPr>
          <w:p w14:paraId="2E8D72D6">
            <w:r>
              <w:rPr>
                <w:rFonts w:ascii="黑体" w:hAnsi="黑体" w:eastAsia="黑体"/>
                <w:b/>
                <w:color w:val="FFFFFF"/>
                <w:sz w:val="21"/>
              </w:rPr>
              <w:t>机制</w:t>
            </w:r>
          </w:p>
        </w:tc>
        <w:tc>
          <w:tcPr>
            <w:tcW w:w="1587" w:type="dxa"/>
            <w:shd w:val="clear" w:color="auto" w:fill="23303F"/>
          </w:tcPr>
          <w:p w14:paraId="5D2AABF3">
            <w:r>
              <w:rPr>
                <w:rFonts w:ascii="黑体" w:hAnsi="黑体" w:eastAsia="黑体"/>
                <w:b/>
                <w:color w:val="FFFFFF"/>
                <w:sz w:val="21"/>
              </w:rPr>
              <w:t>作用</w:t>
            </w:r>
          </w:p>
        </w:tc>
        <w:tc>
          <w:tcPr>
            <w:tcW w:w="2268" w:type="dxa"/>
            <w:shd w:val="clear" w:color="auto" w:fill="23303F"/>
          </w:tcPr>
          <w:p w14:paraId="4E1D4E01">
            <w:r>
              <w:rPr>
                <w:rFonts w:ascii="黑体" w:hAnsi="黑体" w:eastAsia="黑体"/>
                <w:b/>
                <w:color w:val="FFFFFF"/>
                <w:sz w:val="21"/>
              </w:rPr>
              <w:t>对应运营动作</w:t>
            </w:r>
          </w:p>
        </w:tc>
        <w:tc>
          <w:tcPr>
            <w:tcW w:w="3855" w:type="dxa"/>
            <w:shd w:val="clear" w:color="auto" w:fill="23303F"/>
          </w:tcPr>
          <w:p w14:paraId="267FA5FB">
            <w:r>
              <w:rPr>
                <w:rFonts w:ascii="黑体" w:hAnsi="黑体" w:eastAsia="黑体"/>
                <w:b/>
                <w:color w:val="FFFFFF"/>
                <w:sz w:val="21"/>
              </w:rPr>
              <w:t>SOP 要点</w:t>
            </w:r>
          </w:p>
        </w:tc>
      </w:tr>
      <w:tr w14:paraId="55B7D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0B67416">
            <w:r>
              <w:rPr>
                <w:rFonts w:ascii="宋体" w:hAnsi="宋体" w:eastAsia="宋体"/>
                <w:sz w:val="21"/>
              </w:rPr>
              <w:t>沉没成本</w:t>
            </w:r>
          </w:p>
        </w:tc>
        <w:tc>
          <w:tcPr>
            <w:tcW w:w="1587" w:type="dxa"/>
          </w:tcPr>
          <w:p w14:paraId="2D885DC6">
            <w:r>
              <w:rPr>
                <w:rFonts w:ascii="宋体" w:hAnsi="宋体" w:eastAsia="宋体"/>
                <w:sz w:val="21"/>
              </w:rPr>
              <w:t>锁存（周期内）</w:t>
            </w:r>
          </w:p>
        </w:tc>
        <w:tc>
          <w:tcPr>
            <w:tcW w:w="2268" w:type="dxa"/>
          </w:tcPr>
          <w:p w14:paraId="4A9C6EDC">
            <w:r>
              <w:rPr>
                <w:rFonts w:ascii="宋体" w:hAnsi="宋体" w:eastAsia="宋体"/>
                <w:sz w:val="21"/>
              </w:rPr>
              <w:t>连签 streak + 赛季制</w:t>
            </w:r>
          </w:p>
        </w:tc>
        <w:tc>
          <w:tcPr>
            <w:tcW w:w="3855" w:type="dxa"/>
          </w:tcPr>
          <w:p w14:paraId="71A5F440">
            <w:r>
              <w:rPr>
                <w:rFonts w:ascii="宋体" w:hAnsi="宋体" w:eastAsia="宋体"/>
                <w:sz w:val="21"/>
              </w:rPr>
              <w:t>断签给一次补签机会；周期结束瞬间无缝开新周期</w:t>
            </w:r>
          </w:p>
        </w:tc>
      </w:tr>
      <w:tr w14:paraId="27FE8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97F5411">
            <w:r>
              <w:rPr>
                <w:rFonts w:ascii="宋体" w:hAnsi="宋体" w:eastAsia="宋体"/>
                <w:sz w:val="21"/>
              </w:rPr>
              <w:t>目标梯度</w:t>
            </w:r>
          </w:p>
        </w:tc>
        <w:tc>
          <w:tcPr>
            <w:tcW w:w="1587" w:type="dxa"/>
          </w:tcPr>
          <w:p w14:paraId="5D05C0E9">
            <w:r>
              <w:rPr>
                <w:rFonts w:ascii="宋体" w:hAnsi="宋体" w:eastAsia="宋体"/>
                <w:sz w:val="21"/>
              </w:rPr>
              <w:t>加速（临近目标）</w:t>
            </w:r>
          </w:p>
        </w:tc>
        <w:tc>
          <w:tcPr>
            <w:tcW w:w="2268" w:type="dxa"/>
          </w:tcPr>
          <w:p w14:paraId="5411A0E0">
            <w:r>
              <w:rPr>
                <w:rFonts w:ascii="宋体" w:hAnsi="宋体" w:eastAsia="宋体"/>
                <w:sz w:val="21"/>
              </w:rPr>
              <w:t>进度条 + 里程碑奖励</w:t>
            </w:r>
          </w:p>
        </w:tc>
        <w:tc>
          <w:tcPr>
            <w:tcW w:w="3855" w:type="dxa"/>
          </w:tcPr>
          <w:p w14:paraId="48DDCF3E">
            <w:r>
              <w:rPr>
                <w:rFonts w:ascii="宋体" w:hAnsi="宋体" w:eastAsia="宋体"/>
                <w:sz w:val="21"/>
              </w:rPr>
              <w:t>后期进度可适度放慢，但里程碑要给即时反馈</w:t>
            </w:r>
          </w:p>
        </w:tc>
      </w:tr>
      <w:tr w14:paraId="230BA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F65FB59">
            <w:r>
              <w:rPr>
                <w:rFonts w:ascii="宋体" w:hAnsi="宋体" w:eastAsia="宋体"/>
                <w:sz w:val="21"/>
              </w:rPr>
              <w:t>变比率强化</w:t>
            </w:r>
          </w:p>
        </w:tc>
        <w:tc>
          <w:tcPr>
            <w:tcW w:w="1587" w:type="dxa"/>
          </w:tcPr>
          <w:p w14:paraId="1A312A60">
            <w:r>
              <w:rPr>
                <w:rFonts w:ascii="宋体" w:hAnsi="宋体" w:eastAsia="宋体"/>
                <w:sz w:val="21"/>
              </w:rPr>
              <w:t>成瘾（枯燥期）</w:t>
            </w:r>
          </w:p>
        </w:tc>
        <w:tc>
          <w:tcPr>
            <w:tcW w:w="2268" w:type="dxa"/>
          </w:tcPr>
          <w:p w14:paraId="491019E0">
            <w:r>
              <w:rPr>
                <w:rFonts w:ascii="宋体" w:hAnsi="宋体" w:eastAsia="宋体"/>
                <w:sz w:val="21"/>
              </w:rPr>
              <w:t>随机掉落/暴击奖励</w:t>
            </w:r>
          </w:p>
        </w:tc>
        <w:tc>
          <w:tcPr>
            <w:tcW w:w="3855" w:type="dxa"/>
          </w:tcPr>
          <w:p w14:paraId="0F8D8316">
            <w:r>
              <w:rPr>
                <w:rFonts w:ascii="宋体" w:hAnsi="宋体" w:eastAsia="宋体"/>
                <w:sz w:val="21"/>
              </w:rPr>
              <w:t>后期偶发高额奖励，概率可调，测最优掉落率</w:t>
            </w:r>
          </w:p>
        </w:tc>
      </w:tr>
      <w:tr w14:paraId="17C6C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4D8C5F8">
            <w:r>
              <w:rPr>
                <w:rFonts w:ascii="宋体" w:hAnsi="宋体" w:eastAsia="宋体"/>
                <w:sz w:val="21"/>
              </w:rPr>
              <w:t>交易效用</w:t>
            </w:r>
          </w:p>
        </w:tc>
        <w:tc>
          <w:tcPr>
            <w:tcW w:w="1587" w:type="dxa"/>
          </w:tcPr>
          <w:p w14:paraId="46693972">
            <w:r>
              <w:rPr>
                <w:rFonts w:ascii="宋体" w:hAnsi="宋体" w:eastAsia="宋体"/>
                <w:sz w:val="21"/>
              </w:rPr>
              <w:t>推转化（下单瞬间）</w:t>
            </w:r>
          </w:p>
        </w:tc>
        <w:tc>
          <w:tcPr>
            <w:tcW w:w="2268" w:type="dxa"/>
          </w:tcPr>
          <w:p w14:paraId="7B4F113A">
            <w:r>
              <w:rPr>
                <w:rFonts w:ascii="宋体" w:hAnsi="宋体" w:eastAsia="宋体"/>
                <w:sz w:val="21"/>
              </w:rPr>
              <w:t>0.01 元换购 / 优惠券</w:t>
            </w:r>
          </w:p>
        </w:tc>
        <w:tc>
          <w:tcPr>
            <w:tcW w:w="3855" w:type="dxa"/>
          </w:tcPr>
          <w:p w14:paraId="4A0A6804">
            <w:r>
              <w:rPr>
                <w:rFonts w:ascii="宋体" w:hAnsi="宋体" w:eastAsia="宋体"/>
                <w:sz w:val="21"/>
              </w:rPr>
              <w:t>用极低价格制造“占便宜感”；券到期前精准 push</w:t>
            </w:r>
          </w:p>
        </w:tc>
      </w:tr>
    </w:tbl>
    <w:p w14:paraId="0189D634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这张表是后文两个 Playbook 的母版：留存 Playbook 主要用前三个机制，转化 Playbook 主要用第四个。</w:t>
      </w:r>
    </w:p>
    <w:p w14:paraId="0E95EBA1">
      <w:pPr>
        <w:pStyle w:val="3"/>
        <w:keepNext/>
        <w:spacing w:before="360" w:after="160"/>
      </w:pPr>
      <w:bookmarkStart w:id="6" w:name="_Toc6377"/>
      <w:r>
        <w:rPr>
          <w:rFonts w:ascii="黑体" w:hAnsi="黑体" w:eastAsia="黑体"/>
          <w:b/>
          <w:color w:val="1F2329"/>
          <w:sz w:val="30"/>
        </w:rPr>
        <w:t>五、留存 Playbook：赛季制、streak、禀赋勋章</w:t>
      </w:r>
      <w:bookmarkEnd w:id="6"/>
    </w:p>
    <w:p w14:paraId="1264AE95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三件套，每件都配 SOP、KPI、前置条件与止损线。这是“能落地”和“空喊建议”的分水岭（见下表）。</w:t>
      </w:r>
    </w:p>
    <w:p w14:paraId="6F5BF486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3　留存 Playbook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3134"/>
        <w:gridCol w:w="2020"/>
        <w:gridCol w:w="2462"/>
      </w:tblGrid>
      <w:tr w14:paraId="15FB1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23303F"/>
          </w:tcPr>
          <w:p w14:paraId="5D35122A">
            <w:r>
              <w:rPr>
                <w:rFonts w:ascii="黑体" w:hAnsi="黑体" w:eastAsia="黑体"/>
                <w:b/>
                <w:color w:val="FFFFFF"/>
                <w:sz w:val="21"/>
              </w:rPr>
              <w:t>动作</w:t>
            </w:r>
          </w:p>
        </w:tc>
        <w:tc>
          <w:tcPr>
            <w:tcW w:w="3175" w:type="dxa"/>
            <w:shd w:val="clear" w:color="auto" w:fill="23303F"/>
          </w:tcPr>
          <w:p w14:paraId="402378A9">
            <w:r>
              <w:rPr>
                <w:rFonts w:ascii="黑体" w:hAnsi="黑体" w:eastAsia="黑体"/>
                <w:b/>
                <w:color w:val="FFFFFF"/>
                <w:sz w:val="21"/>
              </w:rPr>
              <w:t>SOP</w:t>
            </w:r>
          </w:p>
        </w:tc>
        <w:tc>
          <w:tcPr>
            <w:tcW w:w="2041" w:type="dxa"/>
            <w:shd w:val="clear" w:color="auto" w:fill="23303F"/>
          </w:tcPr>
          <w:p w14:paraId="64B1ABD4">
            <w:r>
              <w:rPr>
                <w:rFonts w:ascii="黑体" w:hAnsi="黑体" w:eastAsia="黑体"/>
                <w:b/>
                <w:color w:val="FFFFFF"/>
                <w:sz w:val="21"/>
              </w:rPr>
              <w:t>KPI</w:t>
            </w:r>
          </w:p>
        </w:tc>
        <w:tc>
          <w:tcPr>
            <w:tcW w:w="2494" w:type="dxa"/>
            <w:shd w:val="clear" w:color="auto" w:fill="23303F"/>
          </w:tcPr>
          <w:p w14:paraId="29BCE98E">
            <w:r>
              <w:rPr>
                <w:rFonts w:ascii="黑体" w:hAnsi="黑体" w:eastAsia="黑体"/>
                <w:b/>
                <w:color w:val="FFFFFF"/>
                <w:sz w:val="21"/>
              </w:rPr>
              <w:t>前置条件 / 止损线</w:t>
            </w:r>
          </w:p>
        </w:tc>
      </w:tr>
      <w:tr w14:paraId="03AC8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274527B">
            <w:r>
              <w:rPr>
                <w:rFonts w:ascii="宋体" w:hAnsi="宋体" w:eastAsia="宋体"/>
                <w:sz w:val="21"/>
              </w:rPr>
              <w:t>赛季制</w:t>
            </w:r>
          </w:p>
        </w:tc>
        <w:tc>
          <w:tcPr>
            <w:tcW w:w="3175" w:type="dxa"/>
          </w:tcPr>
          <w:p w14:paraId="042C98DB">
            <w:r>
              <w:rPr>
                <w:rFonts w:ascii="宋体" w:hAnsi="宋体" w:eastAsia="宋体"/>
                <w:sz w:val="21"/>
              </w:rPr>
              <w:t>每季度1主题；果实收获瞬间弹窗“新赛季开启、首浇双倍”；周期无缝衔接</w:t>
            </w:r>
          </w:p>
        </w:tc>
        <w:tc>
          <w:tcPr>
            <w:tcW w:w="2041" w:type="dxa"/>
          </w:tcPr>
          <w:p w14:paraId="1EDDB4A3">
            <w:r>
              <w:rPr>
                <w:rFonts w:ascii="宋体" w:hAnsi="宋体" w:eastAsia="宋体"/>
                <w:sz w:val="21"/>
              </w:rPr>
              <w:t>跨赛季连续参与率、7/30 留、Cohort 熨平度</w:t>
            </w:r>
          </w:p>
        </w:tc>
        <w:tc>
          <w:tcPr>
            <w:tcW w:w="2494" w:type="dxa"/>
          </w:tcPr>
          <w:p w14:paraId="481C1F17">
            <w:r>
              <w:rPr>
                <w:rFonts w:ascii="宋体" w:hAnsi="宋体" w:eastAsia="宋体"/>
                <w:sz w:val="21"/>
              </w:rPr>
              <w:t>先小流量验证续杯组不掉留存；若续杯组留存反降，回滚</w:t>
            </w:r>
          </w:p>
        </w:tc>
      </w:tr>
      <w:tr w14:paraId="6F6E7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1BB3D61">
            <w:r>
              <w:rPr>
                <w:rFonts w:ascii="宋体" w:hAnsi="宋体" w:eastAsia="宋体"/>
                <w:sz w:val="21"/>
              </w:rPr>
              <w:t>连签 streak</w:t>
            </w:r>
          </w:p>
        </w:tc>
        <w:tc>
          <w:tcPr>
            <w:tcW w:w="3175" w:type="dxa"/>
          </w:tcPr>
          <w:p w14:paraId="4CC351FC">
            <w:r>
              <w:rPr>
                <w:rFonts w:ascii="宋体" w:hAnsi="宋体" w:eastAsia="宋体"/>
                <w:sz w:val="21"/>
              </w:rPr>
              <w:t>连签第4天断签发“召回券”补签1次；第7天里程碑奖励</w:t>
            </w:r>
          </w:p>
        </w:tc>
        <w:tc>
          <w:tcPr>
            <w:tcW w:w="2041" w:type="dxa"/>
          </w:tcPr>
          <w:p w14:paraId="245DE5B2">
            <w:r>
              <w:rPr>
                <w:rFonts w:ascii="宋体" w:hAnsi="宋体" w:eastAsia="宋体"/>
                <w:sz w:val="21"/>
              </w:rPr>
              <w:t>连签率、断签召回率</w:t>
            </w:r>
          </w:p>
        </w:tc>
        <w:tc>
          <w:tcPr>
            <w:tcW w:w="2494" w:type="dxa"/>
          </w:tcPr>
          <w:p w14:paraId="7B0725B0">
            <w:r>
              <w:rPr>
                <w:rFonts w:ascii="宋体" w:hAnsi="宋体" w:eastAsia="宋体"/>
                <w:sz w:val="21"/>
              </w:rPr>
              <w:t>补签成本 ≤ 召回用户的边际价值；否则停止补签</w:t>
            </w:r>
          </w:p>
        </w:tc>
      </w:tr>
      <w:tr w14:paraId="1355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222755D">
            <w:r>
              <w:rPr>
                <w:rFonts w:ascii="宋体" w:hAnsi="宋体" w:eastAsia="宋体"/>
                <w:sz w:val="21"/>
              </w:rPr>
              <w:t>禀赋勋章</w:t>
            </w:r>
          </w:p>
        </w:tc>
        <w:tc>
          <w:tcPr>
            <w:tcW w:w="3175" w:type="dxa"/>
          </w:tcPr>
          <w:p w14:paraId="2D3307CE">
            <w:r>
              <w:rPr>
                <w:rFonts w:ascii="宋体" w:hAnsi="宋体" w:eastAsia="宋体"/>
                <w:sz w:val="21"/>
              </w:rPr>
              <w:t>第1/3/5箱发可展示勋章；离开农场提示“将失去进度”</w:t>
            </w:r>
          </w:p>
        </w:tc>
        <w:tc>
          <w:tcPr>
            <w:tcW w:w="2041" w:type="dxa"/>
          </w:tcPr>
          <w:p w14:paraId="634F8895">
            <w:r>
              <w:rPr>
                <w:rFonts w:ascii="宋体" w:hAnsi="宋体" w:eastAsia="宋体"/>
                <w:sz w:val="21"/>
              </w:rPr>
              <w:t>勋章持有率、持有用户次月留存</w:t>
            </w:r>
          </w:p>
        </w:tc>
        <w:tc>
          <w:tcPr>
            <w:tcW w:w="2494" w:type="dxa"/>
          </w:tcPr>
          <w:p w14:paraId="42084446">
            <w:r>
              <w:rPr>
                <w:rFonts w:ascii="宋体" w:hAnsi="宋体" w:eastAsia="宋体"/>
                <w:sz w:val="21"/>
              </w:rPr>
              <w:t>勋章不发可交易/可变现，避免薅羊毛反噬</w:t>
            </w:r>
          </w:p>
        </w:tc>
      </w:tr>
    </w:tbl>
    <w:p w14:paraId="72A6AD25">
      <w:pPr>
        <w:shd w:val="clear" w:color="auto" w:fill="EAF7EE"/>
        <w:spacing w:before="160" w:after="160"/>
      </w:pPr>
      <w:r>
        <w:rPr>
          <w:rFonts w:ascii="宋体" w:hAnsi="宋体" w:eastAsia="宋体"/>
          <w:b/>
          <w:color w:val="1E7A3C"/>
          <w:sz w:val="22"/>
        </w:rPr>
        <w:t>为什么是这三件</w:t>
      </w:r>
      <w:r>
        <w:rPr>
          <w:rFonts w:ascii="宋体" w:hAnsi="宋体" w:eastAsia="宋体"/>
          <w:b/>
          <w:color w:val="1E7A3C"/>
          <w:sz w:val="22"/>
        </w:rPr>
        <w:br w:type="textWrapping"/>
      </w:r>
      <w:r>
        <w:rPr>
          <w:rFonts w:ascii="宋体" w:hAnsi="宋体" w:eastAsia="宋体"/>
          <w:sz w:val="22"/>
        </w:rPr>
        <w:t>赛季制填的是“收获后流失悬崖”——让沉没成本在周期之间无缝续杯；streak 锁的是“每日来一下”的习惯；勋章抬的是“离开即失去”的切换成本。三者分别对应留存的三道闸门：周期边界、日常频次、长期归属。</w:t>
      </w:r>
    </w:p>
    <w:p w14:paraId="00C502EB">
      <w:pPr>
        <w:pStyle w:val="3"/>
        <w:keepNext/>
        <w:spacing w:before="360" w:after="160"/>
      </w:pPr>
      <w:bookmarkStart w:id="7" w:name="_Toc3613"/>
      <w:r>
        <w:rPr>
          <w:rFonts w:ascii="黑体" w:hAnsi="黑体" w:eastAsia="黑体"/>
          <w:b/>
          <w:color w:val="1F2329"/>
          <w:sz w:val="30"/>
        </w:rPr>
        <w:t>六、转化 Playbook：核销率提升与临门一脚券</w:t>
      </w:r>
      <w:bookmarkEnd w:id="7"/>
    </w:p>
    <w:p w14:paraId="5A4119FF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转化不是“发券就完了”。发券只是起点，运营要管的是“券有没有被用掉、用掉的人有没有留下来”。两个动作（见下表）。</w:t>
      </w:r>
    </w:p>
    <w:p w14:paraId="6B17B41D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4　转化 Playbook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3136"/>
        <w:gridCol w:w="1908"/>
        <w:gridCol w:w="2465"/>
      </w:tblGrid>
      <w:tr w14:paraId="5E8BF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23303F"/>
          </w:tcPr>
          <w:p w14:paraId="723E4802">
            <w:r>
              <w:rPr>
                <w:rFonts w:ascii="黑体" w:hAnsi="黑体" w:eastAsia="黑体"/>
                <w:b/>
                <w:color w:val="FFFFFF"/>
                <w:sz w:val="21"/>
              </w:rPr>
              <w:t>动作</w:t>
            </w:r>
          </w:p>
        </w:tc>
        <w:tc>
          <w:tcPr>
            <w:tcW w:w="3175" w:type="dxa"/>
            <w:shd w:val="clear" w:color="auto" w:fill="23303F"/>
          </w:tcPr>
          <w:p w14:paraId="558D5376">
            <w:r>
              <w:rPr>
                <w:rFonts w:ascii="黑体" w:hAnsi="黑体" w:eastAsia="黑体"/>
                <w:b/>
                <w:color w:val="FFFFFF"/>
                <w:sz w:val="21"/>
              </w:rPr>
              <w:t>SOP</w:t>
            </w:r>
          </w:p>
        </w:tc>
        <w:tc>
          <w:tcPr>
            <w:tcW w:w="1928" w:type="dxa"/>
            <w:shd w:val="clear" w:color="auto" w:fill="23303F"/>
          </w:tcPr>
          <w:p w14:paraId="148376E5">
            <w:r>
              <w:rPr>
                <w:rFonts w:ascii="黑体" w:hAnsi="黑体" w:eastAsia="黑体"/>
                <w:b/>
                <w:color w:val="FFFFFF"/>
                <w:sz w:val="21"/>
              </w:rPr>
              <w:t>KPI</w:t>
            </w:r>
          </w:p>
        </w:tc>
        <w:tc>
          <w:tcPr>
            <w:tcW w:w="2494" w:type="dxa"/>
            <w:shd w:val="clear" w:color="auto" w:fill="23303F"/>
          </w:tcPr>
          <w:p w14:paraId="64BEFBFC">
            <w:r>
              <w:rPr>
                <w:rFonts w:ascii="黑体" w:hAnsi="黑体" w:eastAsia="黑体"/>
                <w:b/>
                <w:color w:val="FFFFFF"/>
                <w:sz w:val="21"/>
              </w:rPr>
              <w:t>前置条件 / 止损线</w:t>
            </w:r>
          </w:p>
        </w:tc>
      </w:tr>
      <w:tr w14:paraId="4DBB3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D93B293">
            <w:r>
              <w:rPr>
                <w:rFonts w:ascii="宋体" w:hAnsi="宋体" w:eastAsia="宋体"/>
                <w:sz w:val="21"/>
              </w:rPr>
              <w:t>核销率提升</w:t>
            </w:r>
          </w:p>
        </w:tc>
        <w:tc>
          <w:tcPr>
            <w:tcW w:w="3175" w:type="dxa"/>
          </w:tcPr>
          <w:p w14:paraId="0FD89D89">
            <w:r>
              <w:rPr>
                <w:rFonts w:ascii="宋体" w:hAnsi="宋体" w:eastAsia="宋体"/>
                <w:sz w:val="21"/>
              </w:rPr>
              <w:t>券到期前24h push + 一键跳转凑单页；凑单页推荐“再加X元可用券”商品</w:t>
            </w:r>
          </w:p>
        </w:tc>
        <w:tc>
          <w:tcPr>
            <w:tcW w:w="1928" w:type="dxa"/>
          </w:tcPr>
          <w:p w14:paraId="531DC0F3">
            <w:r>
              <w:rPr>
                <w:rFonts w:ascii="宋体" w:hAnsi="宋体" w:eastAsia="宋体"/>
                <w:sz w:val="21"/>
              </w:rPr>
              <w:t>券核销率、核销后 GMV</w:t>
            </w:r>
          </w:p>
        </w:tc>
        <w:tc>
          <w:tcPr>
            <w:tcW w:w="2494" w:type="dxa"/>
          </w:tcPr>
          <w:p w14:paraId="12837D28">
            <w:r>
              <w:rPr>
                <w:rFonts w:ascii="宋体" w:hAnsi="宋体" w:eastAsia="宋体"/>
                <w:sz w:val="21"/>
              </w:rPr>
              <w:t>push 退订率上升则降频；核销用户打“转化标签”用于复购追投</w:t>
            </w:r>
          </w:p>
        </w:tc>
      </w:tr>
      <w:tr w14:paraId="1AC24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4847294">
            <w:r>
              <w:rPr>
                <w:rFonts w:ascii="宋体" w:hAnsi="宋体" w:eastAsia="宋体"/>
                <w:sz w:val="21"/>
              </w:rPr>
              <w:t>临门一脚券</w:t>
            </w:r>
          </w:p>
        </w:tc>
        <w:tc>
          <w:tcPr>
            <w:tcW w:w="3175" w:type="dxa"/>
          </w:tcPr>
          <w:p w14:paraId="37C7ABD6">
            <w:r>
              <w:rPr>
                <w:rFonts w:ascii="宋体" w:hAnsi="宋体" w:eastAsia="宋体"/>
                <w:sz w:val="21"/>
              </w:rPr>
              <w:t>识别“高浏览深度×高活跃×未转化”用户；触发“再浏览3天送5元无门槛”</w:t>
            </w:r>
          </w:p>
        </w:tc>
        <w:tc>
          <w:tcPr>
            <w:tcW w:w="1928" w:type="dxa"/>
          </w:tcPr>
          <w:p w14:paraId="3D5C8A31">
            <w:r>
              <w:rPr>
                <w:rFonts w:ascii="宋体" w:hAnsi="宋体" w:eastAsia="宋体"/>
                <w:sz w:val="21"/>
              </w:rPr>
              <w:t>留存→转化跃迁率、跃迁后30天留存</w:t>
            </w:r>
          </w:p>
        </w:tc>
        <w:tc>
          <w:tcPr>
            <w:tcW w:w="2494" w:type="dxa"/>
          </w:tcPr>
          <w:p w14:paraId="46C8D464">
            <w:r>
              <w:rPr>
                <w:rFonts w:ascii="宋体" w:hAnsi="宋体" w:eastAsia="宋体"/>
                <w:sz w:val="21"/>
              </w:rPr>
              <w:t>仅当标签 LTV 增量 &gt; 补贴成本时持续；否则停发</w:t>
            </w:r>
          </w:p>
        </w:tc>
      </w:tr>
    </w:tbl>
    <w:p w14:paraId="78ADDA65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这里有一个运营容易踩的坑：把“发券核销”当成终点。真正的终点是“用户被打上了转化标签”——这个标签能用于后续复购追投，抬长期 LTV。所以临门一脚券的前置条件写得明白：只有标签 LTV 增量 盖过补贴成本，这个动作才持续；否则就是花钱买一次性转化，不划算。这一条直接规避了“为追核销率而盲目发券”的逻辑断桥。</w:t>
      </w:r>
    </w:p>
    <w:p w14:paraId="5AD3A830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但真实运营里，数据不会乖乖地“好”或“坏”二选一，更多是在灰色地带抖动。临门一脚券上线后要按周同时盯两组指标：短期看跃迁率，长期看跃迁后 30 天留存。若短期涨、长期跌，说明补贴在催生一次性转化，应下调补贴面额而非直接停发；若短期跌、长期涨，说明筛选变精准了（刷掉的本来就是不会留的人），可维持或微扩流量。只有当短期和长期同时跌超过两周，才触发止损线停发——单一指标波动不构成停发理由。这套“短期/长期双指标 + 两周确认”的灰度规则，是“执行过”和“纸上谈兵”的分水岭。</w:t>
      </w:r>
    </w:p>
    <w:p w14:paraId="4C63B89D">
      <w:pPr>
        <w:pStyle w:val="3"/>
        <w:keepNext/>
        <w:spacing w:before="360" w:after="160"/>
      </w:pPr>
      <w:bookmarkStart w:id="8" w:name="_Toc5539"/>
      <w:r>
        <w:rPr>
          <w:rFonts w:ascii="黑体" w:hAnsi="黑体" w:eastAsia="黑体"/>
          <w:b/>
          <w:color w:val="1F2329"/>
          <w:sz w:val="30"/>
        </w:rPr>
        <w:t>七、用户状态流转运营</w:t>
      </w:r>
      <w:bookmarkEnd w:id="8"/>
    </w:p>
    <w:p w14:paraId="1387CD5F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把用户静态分成“留存型/转化型”是截面思维，会漏掉最值钱的东西——流动。一个今天够不到商品轨的留存型用户，下个月可能因为大促凑单突然跨进转化型；一个兑完就走的转化型用户，下个月又可能沉回留存型。运营要盯的不是“给谁发什么”，而是“让用户在什么状态下触达什么门槛”。</w:t>
      </w:r>
    </w:p>
    <w:p w14:paraId="68F83651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以“累计浏览深度”和“近 7 天活跃度”建二维矩阵，对每个象限给不同动作（见下表）。</w:t>
      </w:r>
    </w:p>
    <w:p w14:paraId="4B098F10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5　用户状态流转矩阵与触达策略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4"/>
        <w:gridCol w:w="3241"/>
        <w:gridCol w:w="3241"/>
      </w:tblGrid>
      <w:tr w14:paraId="7825F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23303F"/>
          </w:tcPr>
          <w:p w14:paraId="04B364F3">
            <w:r>
              <w:rPr>
                <w:rFonts w:ascii="黑体" w:hAnsi="黑体" w:eastAsia="黑体"/>
                <w:b/>
                <w:color w:val="FFFFFF"/>
                <w:sz w:val="21"/>
              </w:rPr>
              <w:t>累计浏览深度 ＼ 近7天活跃</w:t>
            </w:r>
          </w:p>
        </w:tc>
        <w:tc>
          <w:tcPr>
            <w:tcW w:w="3402" w:type="dxa"/>
            <w:shd w:val="clear" w:color="auto" w:fill="23303F"/>
          </w:tcPr>
          <w:p w14:paraId="0DBA7CA1">
            <w:r>
              <w:rPr>
                <w:rFonts w:ascii="黑体" w:hAnsi="黑体" w:eastAsia="黑体"/>
                <w:b/>
                <w:color w:val="FFFFFF"/>
                <w:sz w:val="21"/>
              </w:rPr>
              <w:t>高活跃</w:t>
            </w:r>
          </w:p>
        </w:tc>
        <w:tc>
          <w:tcPr>
            <w:tcW w:w="3402" w:type="dxa"/>
            <w:shd w:val="clear" w:color="auto" w:fill="23303F"/>
          </w:tcPr>
          <w:p w14:paraId="29CA4922">
            <w:r>
              <w:rPr>
                <w:rFonts w:ascii="黑体" w:hAnsi="黑体" w:eastAsia="黑体"/>
                <w:b/>
                <w:color w:val="FFFFFF"/>
                <w:sz w:val="21"/>
              </w:rPr>
              <w:t>低活跃</w:t>
            </w:r>
          </w:p>
        </w:tc>
      </w:tr>
      <w:tr w14:paraId="1E885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3E113B9A">
            <w:r>
              <w:rPr>
                <w:rFonts w:ascii="宋体" w:hAnsi="宋体" w:eastAsia="宋体"/>
                <w:sz w:val="21"/>
              </w:rPr>
              <w:t>高浏览深度</w:t>
            </w:r>
          </w:p>
        </w:tc>
        <w:tc>
          <w:tcPr>
            <w:tcW w:w="3402" w:type="dxa"/>
          </w:tcPr>
          <w:p w14:paraId="1B919786">
            <w:r>
              <w:rPr>
                <w:rFonts w:ascii="宋体" w:hAnsi="宋体" w:eastAsia="宋体"/>
                <w:sz w:val="21"/>
              </w:rPr>
              <w:t>临门一脚券：再浏览3天送5元无门槛，推过转化阈值（金矿象限）</w:t>
            </w:r>
          </w:p>
        </w:tc>
        <w:tc>
          <w:tcPr>
            <w:tcW w:w="3402" w:type="dxa"/>
          </w:tcPr>
          <w:p w14:paraId="55D6CAA2">
            <w:r>
              <w:rPr>
                <w:rFonts w:ascii="宋体" w:hAnsi="宋体" w:eastAsia="宋体"/>
                <w:sz w:val="21"/>
              </w:rPr>
              <w:t>趁热召回：深度已够，发限时券防止沉寂</w:t>
            </w:r>
          </w:p>
        </w:tc>
      </w:tr>
      <w:tr w14:paraId="49943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1982FCF9">
            <w:r>
              <w:rPr>
                <w:rFonts w:ascii="宋体" w:hAnsi="宋体" w:eastAsia="宋体"/>
                <w:sz w:val="21"/>
              </w:rPr>
              <w:t>低浏览深度</w:t>
            </w:r>
          </w:p>
        </w:tc>
        <w:tc>
          <w:tcPr>
            <w:tcW w:w="3402" w:type="dxa"/>
          </w:tcPr>
          <w:p w14:paraId="086A995D">
            <w:r>
              <w:rPr>
                <w:rFonts w:ascii="宋体" w:hAnsi="宋体" w:eastAsia="宋体"/>
                <w:sz w:val="21"/>
              </w:rPr>
              <w:t>习惯型：水果轨+签到维持，埋渐进浏览任务加深</w:t>
            </w:r>
          </w:p>
        </w:tc>
        <w:tc>
          <w:tcPr>
            <w:tcW w:w="3402" w:type="dxa"/>
          </w:tcPr>
          <w:p w14:paraId="1C438FC6">
            <w:r>
              <w:rPr>
                <w:rFonts w:ascii="宋体" w:hAnsi="宋体" w:eastAsia="宋体"/>
                <w:sz w:val="21"/>
              </w:rPr>
              <w:t>沉睡型：低成本 push 试探，不浪费补贴</w:t>
            </w:r>
          </w:p>
        </w:tc>
      </w:tr>
    </w:tbl>
    <w:p w14:paraId="4303FCFA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日常盯两个量：留存→转化跃迁率，以及跃迁后 30 天的回流衰减。跃迁后迅速沉寂，说明补贴浪费在一次性转化上；跃迁后持续活跃，说明用户价值层级真的提升了——后者才是转化 Playbook 想要的结果。静态分群只是起手，这张流转矩阵才是日常运营要盯的盘。</w:t>
      </w:r>
    </w:p>
    <w:p w14:paraId="31EDF04C">
      <w:pPr>
        <w:pStyle w:val="3"/>
        <w:keepNext/>
        <w:spacing w:before="360" w:after="160"/>
      </w:pPr>
      <w:bookmarkStart w:id="9" w:name="_Toc1502"/>
      <w:r>
        <w:rPr>
          <w:rFonts w:ascii="黑体" w:hAnsi="黑体" w:eastAsia="黑体"/>
          <w:b/>
          <w:color w:val="1F2329"/>
          <w:sz w:val="30"/>
        </w:rPr>
        <w:t>八、活动节奏与资源效率</w:t>
      </w:r>
      <w:bookmarkEnd w:id="9"/>
    </w:p>
    <w:p w14:paraId="2E33384F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主题赛季要落到一张活动日历上，而不是想起来才做。节奏建议：每季度一个主题（如秋日丰收季、年货季），关键节点对齐集团大促（618、双11），借势放大；赛季之间无缝衔接，避免“空窗期”掉留存。</w:t>
      </w:r>
    </w:p>
    <w:p w14:paraId="78C4065F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6　活动资源与护栏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082"/>
        <w:gridCol w:w="2948"/>
      </w:tblGrid>
      <w:tr w14:paraId="0C131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3303F"/>
          </w:tcPr>
          <w:p w14:paraId="2A70506F">
            <w:r>
              <w:rPr>
                <w:rFonts w:ascii="黑体" w:hAnsi="黑体" w:eastAsia="黑体"/>
                <w:b/>
                <w:color w:val="FFFFFF"/>
                <w:sz w:val="21"/>
              </w:rPr>
              <w:t>资源/护栏</w:t>
            </w:r>
          </w:p>
        </w:tc>
        <w:tc>
          <w:tcPr>
            <w:tcW w:w="4082" w:type="dxa"/>
            <w:shd w:val="clear" w:color="auto" w:fill="23303F"/>
          </w:tcPr>
          <w:p w14:paraId="208CC674"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  <w:tc>
          <w:tcPr>
            <w:tcW w:w="2948" w:type="dxa"/>
            <w:shd w:val="clear" w:color="auto" w:fill="23303F"/>
          </w:tcPr>
          <w:p w14:paraId="0ADB0748">
            <w:r>
              <w:rPr>
                <w:rFonts w:ascii="黑体" w:hAnsi="黑体" w:eastAsia="黑体"/>
                <w:b/>
                <w:color w:val="FFFFFF"/>
                <w:sz w:val="21"/>
              </w:rPr>
              <w:t>止损线</w:t>
            </w:r>
          </w:p>
        </w:tc>
      </w:tr>
      <w:tr w14:paraId="2A8A6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EC9BA56">
            <w:r>
              <w:rPr>
                <w:rFonts w:ascii="宋体" w:hAnsi="宋体" w:eastAsia="宋体"/>
                <w:sz w:val="21"/>
              </w:rPr>
              <w:t>预算分配</w:t>
            </w:r>
          </w:p>
        </w:tc>
        <w:tc>
          <w:tcPr>
            <w:tcW w:w="4082" w:type="dxa"/>
          </w:tcPr>
          <w:p w14:paraId="1FEAAEBA">
            <w:r>
              <w:rPr>
                <w:rFonts w:ascii="宋体" w:hAnsi="宋体" w:eastAsia="宋体"/>
                <w:sz w:val="21"/>
              </w:rPr>
              <w:t>留存轨（水果/streak）与转化轨（券）的预算比 = 留存与转化的配比阀门</w:t>
            </w:r>
          </w:p>
        </w:tc>
        <w:tc>
          <w:tcPr>
            <w:tcW w:w="2948" w:type="dxa"/>
          </w:tcPr>
          <w:p w14:paraId="32938FFF">
            <w:r>
              <w:rPr>
                <w:rFonts w:ascii="宋体" w:hAnsi="宋体" w:eastAsia="宋体"/>
                <w:sz w:val="21"/>
              </w:rPr>
              <w:t>单赛道 ROI 连续两周下滑，调预算比</w:t>
            </w:r>
          </w:p>
        </w:tc>
      </w:tr>
      <w:tr w14:paraId="192C1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55C861E">
            <w:r>
              <w:rPr>
                <w:rFonts w:ascii="宋体" w:hAnsi="宋体" w:eastAsia="宋体"/>
                <w:sz w:val="21"/>
              </w:rPr>
              <w:t>资源位机会成本</w:t>
            </w:r>
          </w:p>
        </w:tc>
        <w:tc>
          <w:tcPr>
            <w:tcW w:w="4082" w:type="dxa"/>
          </w:tcPr>
          <w:p w14:paraId="5925B9E7">
            <w:r>
              <w:rPr>
                <w:rFonts w:ascii="宋体" w:hAnsi="宋体" w:eastAsia="宋体"/>
                <w:sz w:val="21"/>
              </w:rPr>
              <w:t>活动占用的坑位/Push/Banner，要算“投别处是不是更值”；设 RPM 红线</w:t>
            </w:r>
          </w:p>
        </w:tc>
        <w:tc>
          <w:tcPr>
            <w:tcW w:w="2948" w:type="dxa"/>
          </w:tcPr>
          <w:p w14:paraId="319C778B">
            <w:r>
              <w:rPr>
                <w:rFonts w:ascii="宋体" w:hAnsi="宋体" w:eastAsia="宋体"/>
                <w:sz w:val="21"/>
              </w:rPr>
              <w:t>活动总价值 &lt; 资源位 RPM，则该坑位让给直通车</w:t>
            </w:r>
          </w:p>
        </w:tc>
      </w:tr>
      <w:tr w14:paraId="2F6F9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3BBAEC9">
            <w:r>
              <w:rPr>
                <w:rFonts w:ascii="宋体" w:hAnsi="宋体" w:eastAsia="宋体"/>
                <w:sz w:val="21"/>
              </w:rPr>
              <w:t>舆情护栏</w:t>
            </w:r>
          </w:p>
        </w:tc>
        <w:tc>
          <w:tcPr>
            <w:tcW w:w="4082" w:type="dxa"/>
          </w:tcPr>
          <w:p w14:paraId="2E3228AC">
            <w:r>
              <w:rPr>
                <w:rFonts w:ascii="宋体" w:hAnsi="宋体" w:eastAsia="宋体"/>
                <w:sz w:val="21"/>
              </w:rPr>
              <w:t>砍水果轨全换券可能引发“助农”舆论反噬</w:t>
            </w:r>
          </w:p>
        </w:tc>
        <w:tc>
          <w:tcPr>
            <w:tcW w:w="2948" w:type="dxa"/>
          </w:tcPr>
          <w:p w14:paraId="5B171DCB">
            <w:r>
              <w:rPr>
                <w:rFonts w:ascii="宋体" w:hAnsi="宋体" w:eastAsia="宋体"/>
                <w:sz w:val="21"/>
              </w:rPr>
              <w:t>社媒负面提及率超阈值，暂停缩减水果轨</w:t>
            </w:r>
          </w:p>
        </w:tc>
      </w:tr>
    </w:tbl>
    <w:p w14:paraId="072EF295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资源位机会成本这一条，是运营常漏的：活动做了、KPI 达成了，但占用的坑位如果投给直通车赚得更多，从集团看仍是战略性亏损。运营要会算“自己赚不赚”，也要会算“是不是比放别的更赚”。舆情护栏则把“助农叙事”这个算不进 ROI 的社会价值显性化——它不是摆设，是砍水果轨时必须盯的外部风险。</w:t>
      </w:r>
    </w:p>
    <w:p w14:paraId="08B5929A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调预算比之前要先做两层归因，别数据一差就砍预算。第一层外部归因：对标同期大盘日活和转化率，若大盘也在跌，问题在外部（大促截流、竞品上新、季节波动），不调预算，等外部回暖；第二层内部归因：若大盘涨而本模块跌，再拆看跌在哪个环节——任务完成率？核销率？跃迁率？——定位到具体漏斗环节再调对应动作。一刀切地加减预算，是运营老路也是弯路。</w:t>
      </w:r>
    </w:p>
    <w:p w14:paraId="0B4CB979">
      <w:pPr>
        <w:pStyle w:val="3"/>
        <w:keepNext/>
        <w:spacing w:before="360" w:after="160"/>
      </w:pPr>
      <w:bookmarkStart w:id="10" w:name="_Toc11320"/>
      <w:r>
        <w:rPr>
          <w:rFonts w:ascii="黑体" w:hAnsi="黑体" w:eastAsia="黑体"/>
          <w:b/>
          <w:color w:val="1F2329"/>
          <w:sz w:val="30"/>
        </w:rPr>
        <w:t>九、数据复盘口径</w:t>
      </w:r>
      <w:bookmarkEnd w:id="10"/>
    </w:p>
    <w:p w14:paraId="576A795C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运营不靠感觉，靠看板。按日/周/月分层，避免“天天看一堆数却抓不住重点”（见下表）。</w:t>
      </w:r>
    </w:p>
    <w:p w14:paraId="5B044078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7　数据看板分层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969"/>
        <w:gridCol w:w="3175"/>
      </w:tblGrid>
      <w:tr w14:paraId="23A58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23303F"/>
          </w:tcPr>
          <w:p w14:paraId="56C949CE">
            <w:r>
              <w:rPr>
                <w:rFonts w:ascii="黑体" w:hAnsi="黑体" w:eastAsia="黑体"/>
                <w:b/>
                <w:color w:val="FFFFFF"/>
                <w:sz w:val="21"/>
              </w:rPr>
              <w:t>周期</w:t>
            </w:r>
          </w:p>
        </w:tc>
        <w:tc>
          <w:tcPr>
            <w:tcW w:w="3969" w:type="dxa"/>
            <w:shd w:val="clear" w:color="auto" w:fill="23303F"/>
          </w:tcPr>
          <w:p w14:paraId="08526849">
            <w:r>
              <w:rPr>
                <w:rFonts w:ascii="黑体" w:hAnsi="黑体" w:eastAsia="黑体"/>
                <w:b/>
                <w:color w:val="FFFFFF"/>
                <w:sz w:val="21"/>
              </w:rPr>
              <w:t>核心指标</w:t>
            </w:r>
          </w:p>
        </w:tc>
        <w:tc>
          <w:tcPr>
            <w:tcW w:w="3175" w:type="dxa"/>
            <w:shd w:val="clear" w:color="auto" w:fill="23303F"/>
          </w:tcPr>
          <w:p w14:paraId="09B668CD">
            <w:r>
              <w:rPr>
                <w:rFonts w:ascii="黑体" w:hAnsi="黑体" w:eastAsia="黑体"/>
                <w:b/>
                <w:color w:val="FFFFFF"/>
                <w:sz w:val="21"/>
              </w:rPr>
              <w:t>看的动作</w:t>
            </w:r>
          </w:p>
        </w:tc>
      </w:tr>
      <w:tr w14:paraId="300F4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851EA17">
            <w:r>
              <w:rPr>
                <w:rFonts w:ascii="宋体" w:hAnsi="宋体" w:eastAsia="宋体"/>
                <w:sz w:val="21"/>
              </w:rPr>
              <w:t>日看板</w:t>
            </w:r>
          </w:p>
        </w:tc>
        <w:tc>
          <w:tcPr>
            <w:tcW w:w="3969" w:type="dxa"/>
          </w:tcPr>
          <w:p w14:paraId="7863E7B1">
            <w:r>
              <w:rPr>
                <w:rFonts w:ascii="宋体" w:hAnsi="宋体" w:eastAsia="宋体"/>
                <w:sz w:val="21"/>
              </w:rPr>
              <w:t>DAU、化肥发行量、人均任务数、签到率、券核销率</w:t>
            </w:r>
          </w:p>
        </w:tc>
        <w:tc>
          <w:tcPr>
            <w:tcW w:w="3175" w:type="dxa"/>
          </w:tcPr>
          <w:p w14:paraId="0A041908">
            <w:r>
              <w:rPr>
                <w:rFonts w:ascii="宋体" w:hAnsi="宋体" w:eastAsia="宋体"/>
                <w:sz w:val="21"/>
              </w:rPr>
              <w:t>盯异常波动，快速响应</w:t>
            </w:r>
          </w:p>
        </w:tc>
      </w:tr>
      <w:tr w14:paraId="3C599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7608E87">
            <w:r>
              <w:rPr>
                <w:rFonts w:ascii="宋体" w:hAnsi="宋体" w:eastAsia="宋体"/>
                <w:sz w:val="21"/>
              </w:rPr>
              <w:t>周看板</w:t>
            </w:r>
          </w:p>
        </w:tc>
        <w:tc>
          <w:tcPr>
            <w:tcW w:w="3969" w:type="dxa"/>
          </w:tcPr>
          <w:p w14:paraId="3A95044E">
            <w:r>
              <w:rPr>
                <w:rFonts w:ascii="宋体" w:hAnsi="宋体" w:eastAsia="宋体"/>
                <w:sz w:val="21"/>
              </w:rPr>
              <w:t>7 留、留存→转化跃迁率、活动参与率、核销 GMV</w:t>
            </w:r>
          </w:p>
        </w:tc>
        <w:tc>
          <w:tcPr>
            <w:tcW w:w="3175" w:type="dxa"/>
          </w:tcPr>
          <w:p w14:paraId="53091728">
            <w:r>
              <w:rPr>
                <w:rFonts w:ascii="宋体" w:hAnsi="宋体" w:eastAsia="宋体"/>
                <w:sz w:val="21"/>
              </w:rPr>
              <w:t>看趋势，调下周节奏</w:t>
            </w:r>
          </w:p>
        </w:tc>
      </w:tr>
      <w:tr w14:paraId="5659C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8283E15">
            <w:r>
              <w:rPr>
                <w:rFonts w:ascii="宋体" w:hAnsi="宋体" w:eastAsia="宋体"/>
                <w:sz w:val="21"/>
              </w:rPr>
              <w:t>月看板</w:t>
            </w:r>
          </w:p>
        </w:tc>
        <w:tc>
          <w:tcPr>
            <w:tcW w:w="3969" w:type="dxa"/>
          </w:tcPr>
          <w:p w14:paraId="7974E5FC">
            <w:r>
              <w:rPr>
                <w:rFonts w:ascii="宋体" w:hAnsi="宋体" w:eastAsia="宋体"/>
                <w:sz w:val="21"/>
              </w:rPr>
              <w:t>30 留、Cohort、跨赛季参与率、单位经济(轻量)、资源效率(RPM)</w:t>
            </w:r>
          </w:p>
        </w:tc>
        <w:tc>
          <w:tcPr>
            <w:tcW w:w="3175" w:type="dxa"/>
          </w:tcPr>
          <w:p w14:paraId="47B90435">
            <w:r>
              <w:rPr>
                <w:rFonts w:ascii="宋体" w:hAnsi="宋体" w:eastAsia="宋体"/>
                <w:sz w:val="21"/>
              </w:rPr>
              <w:t>做月度复盘，调策略方向</w:t>
            </w:r>
          </w:p>
        </w:tc>
      </w:tr>
    </w:tbl>
    <w:p w14:paraId="228123B9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轻量归因：留 5% 用户完全不发券作 holdout 对照，看发券组与对照组的 GMV 差，估算增量。模块级精确归因做不到，但 holdout 能给你一个“含归因折扣”的判断，避免把“本就会买的订单”算成自己的功劳。</w:t>
      </w:r>
    </w:p>
    <w:p w14:paraId="3B1F62E9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复盘四问：目标达成没？哪个环节漏了？是机制问题还是执行问题？下次怎么改？——把每次活动沉淀成一条经验，是运营方法论能积累下来的根本。</w:t>
      </w:r>
    </w:p>
    <w:p w14:paraId="3B1F3E97">
      <w:pPr>
        <w:pStyle w:val="3"/>
        <w:keepNext/>
        <w:spacing w:before="360" w:after="160"/>
      </w:pPr>
      <w:bookmarkStart w:id="11" w:name="_Toc29110"/>
      <w:r>
        <w:rPr>
          <w:rFonts w:ascii="黑体" w:hAnsi="黑体" w:eastAsia="黑体"/>
          <w:b/>
          <w:color w:val="1F2329"/>
          <w:sz w:val="30"/>
        </w:rPr>
        <w:t>十、方法论迁移性：这套打法能用到哪些运营岗</w:t>
      </w:r>
      <w:bookmarkEnd w:id="11"/>
    </w:p>
    <w:p w14:paraId="67475671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运营岗壁垒不高，但“把一个案例吃透、抽象成方法、迁移到别的业务”的能力，是稀缺的。芭芭农场的五段闭环 + 四机制翻译 + 状态流转，是一套可迁移的运营骨架（见下表）。</w:t>
      </w:r>
    </w:p>
    <w:p w14:paraId="189FF38B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8　方法论迁移到各运营岗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288"/>
        <w:gridCol w:w="3628"/>
      </w:tblGrid>
      <w:tr w14:paraId="6F6ED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23303F"/>
          </w:tcPr>
          <w:p w14:paraId="3460B498">
            <w:r>
              <w:rPr>
                <w:rFonts w:ascii="黑体" w:hAnsi="黑体" w:eastAsia="黑体"/>
                <w:b/>
                <w:color w:val="FFFFFF"/>
                <w:sz w:val="21"/>
              </w:rPr>
              <w:t>运营岗</w:t>
            </w:r>
          </w:p>
        </w:tc>
        <w:tc>
          <w:tcPr>
            <w:tcW w:w="3288" w:type="dxa"/>
            <w:shd w:val="clear" w:color="auto" w:fill="23303F"/>
          </w:tcPr>
          <w:p w14:paraId="0C0EA702">
            <w:r>
              <w:rPr>
                <w:rFonts w:ascii="黑体" w:hAnsi="黑体" w:eastAsia="黑体"/>
                <w:b/>
                <w:color w:val="FFFFFF"/>
                <w:sz w:val="21"/>
              </w:rPr>
              <w:t>可迁移的方法</w:t>
            </w:r>
          </w:p>
        </w:tc>
        <w:tc>
          <w:tcPr>
            <w:tcW w:w="3628" w:type="dxa"/>
            <w:shd w:val="clear" w:color="auto" w:fill="23303F"/>
          </w:tcPr>
          <w:p w14:paraId="6603D8C8">
            <w:r>
              <w:rPr>
                <w:rFonts w:ascii="黑体" w:hAnsi="黑体" w:eastAsia="黑体"/>
                <w:b/>
                <w:color w:val="FFFFFF"/>
                <w:sz w:val="21"/>
              </w:rPr>
              <w:t>怎么用</w:t>
            </w:r>
          </w:p>
        </w:tc>
      </w:tr>
      <w:tr w14:paraId="4FE85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40EAEFC">
            <w:r>
              <w:rPr>
                <w:rFonts w:ascii="宋体" w:hAnsi="宋体" w:eastAsia="宋体"/>
                <w:sz w:val="21"/>
              </w:rPr>
              <w:t>用户增长</w:t>
            </w:r>
          </w:p>
        </w:tc>
        <w:tc>
          <w:tcPr>
            <w:tcW w:w="3288" w:type="dxa"/>
          </w:tcPr>
          <w:p w14:paraId="54B209ED">
            <w:r>
              <w:rPr>
                <w:rFonts w:ascii="宋体" w:hAnsi="宋体" w:eastAsia="宋体"/>
                <w:sz w:val="21"/>
              </w:rPr>
              <w:t>五段闭环（钩子→习惯→沉没→转化→续杯）</w:t>
            </w:r>
          </w:p>
        </w:tc>
        <w:tc>
          <w:tcPr>
            <w:tcW w:w="3628" w:type="dxa"/>
          </w:tcPr>
          <w:p w14:paraId="40A94071">
            <w:r>
              <w:rPr>
                <w:rFonts w:ascii="宋体" w:hAnsi="宋体" w:eastAsia="宋体"/>
                <w:sz w:val="21"/>
              </w:rPr>
              <w:t>做留存策略与增长漏斗拆解</w:t>
            </w:r>
          </w:p>
        </w:tc>
      </w:tr>
      <w:tr w14:paraId="3F6A7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C4895EB">
            <w:r>
              <w:rPr>
                <w:rFonts w:ascii="宋体" w:hAnsi="宋体" w:eastAsia="宋体"/>
                <w:sz w:val="21"/>
              </w:rPr>
              <w:t>活动运营</w:t>
            </w:r>
          </w:p>
        </w:tc>
        <w:tc>
          <w:tcPr>
            <w:tcW w:w="3288" w:type="dxa"/>
          </w:tcPr>
          <w:p w14:paraId="2B502794">
            <w:r>
              <w:rPr>
                <w:rFonts w:ascii="宋体" w:hAnsi="宋体" w:eastAsia="宋体"/>
                <w:sz w:val="21"/>
              </w:rPr>
              <w:t>赛季制 + SOP + 活动日历</w:t>
            </w:r>
          </w:p>
        </w:tc>
        <w:tc>
          <w:tcPr>
            <w:tcW w:w="3628" w:type="dxa"/>
          </w:tcPr>
          <w:p w14:paraId="43C77A21">
            <w:r>
              <w:rPr>
                <w:rFonts w:ascii="宋体" w:hAnsi="宋体" w:eastAsia="宋体"/>
                <w:sz w:val="21"/>
              </w:rPr>
              <w:t>做大促、主题活动与节奏管理</w:t>
            </w:r>
          </w:p>
        </w:tc>
      </w:tr>
      <w:tr w14:paraId="55A05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E105965">
            <w:r>
              <w:rPr>
                <w:rFonts w:ascii="宋体" w:hAnsi="宋体" w:eastAsia="宋体"/>
                <w:sz w:val="21"/>
              </w:rPr>
              <w:t>内容运营</w:t>
            </w:r>
          </w:p>
        </w:tc>
        <w:tc>
          <w:tcPr>
            <w:tcW w:w="3288" w:type="dxa"/>
          </w:tcPr>
          <w:p w14:paraId="05C27A1B">
            <w:r>
              <w:rPr>
                <w:rFonts w:ascii="宋体" w:hAnsi="宋体" w:eastAsia="宋体"/>
                <w:sz w:val="21"/>
              </w:rPr>
              <w:t>助农叙事 → 内容选题</w:t>
            </w:r>
          </w:p>
        </w:tc>
        <w:tc>
          <w:tcPr>
            <w:tcW w:w="3628" w:type="dxa"/>
          </w:tcPr>
          <w:p w14:paraId="4B1955E4">
            <w:r>
              <w:rPr>
                <w:rFonts w:ascii="宋体" w:hAnsi="宋体" w:eastAsia="宋体"/>
                <w:sz w:val="21"/>
              </w:rPr>
              <w:t>把社会价值做成可传播的内容素材</w:t>
            </w:r>
          </w:p>
        </w:tc>
      </w:tr>
      <w:tr w14:paraId="23C6B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114EEFA">
            <w:r>
              <w:rPr>
                <w:rFonts w:ascii="宋体" w:hAnsi="宋体" w:eastAsia="宋体"/>
                <w:sz w:val="21"/>
              </w:rPr>
              <w:t>社群运营</w:t>
            </w:r>
          </w:p>
        </w:tc>
        <w:tc>
          <w:tcPr>
            <w:tcW w:w="3288" w:type="dxa"/>
          </w:tcPr>
          <w:p w14:paraId="5B0766A3">
            <w:r>
              <w:rPr>
                <w:rFonts w:ascii="宋体" w:hAnsi="宋体" w:eastAsia="宋体"/>
                <w:sz w:val="21"/>
              </w:rPr>
              <w:t>合种/组队 → 社群裂变玩法</w:t>
            </w:r>
          </w:p>
        </w:tc>
        <w:tc>
          <w:tcPr>
            <w:tcW w:w="3628" w:type="dxa"/>
          </w:tcPr>
          <w:p w14:paraId="32F96014">
            <w:r>
              <w:rPr>
                <w:rFonts w:ascii="宋体" w:hAnsi="宋体" w:eastAsia="宋体"/>
                <w:sz w:val="21"/>
              </w:rPr>
              <w:t>用轻度社交撬动自然传播</w:t>
            </w:r>
          </w:p>
        </w:tc>
      </w:tr>
      <w:tr w14:paraId="3AD6C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ACB5B32">
            <w:r>
              <w:rPr>
                <w:rFonts w:ascii="宋体" w:hAnsi="宋体" w:eastAsia="宋体"/>
                <w:sz w:val="21"/>
              </w:rPr>
              <w:t>电商运营</w:t>
            </w:r>
          </w:p>
        </w:tc>
        <w:tc>
          <w:tcPr>
            <w:tcW w:w="3288" w:type="dxa"/>
          </w:tcPr>
          <w:p w14:paraId="488F6B28">
            <w:r>
              <w:rPr>
                <w:rFonts w:ascii="宋体" w:hAnsi="宋体" w:eastAsia="宋体"/>
                <w:sz w:val="21"/>
              </w:rPr>
              <w:t>核销率 + 凑单页 + 临门一脚券</w:t>
            </w:r>
          </w:p>
        </w:tc>
        <w:tc>
          <w:tcPr>
            <w:tcW w:w="3628" w:type="dxa"/>
          </w:tcPr>
          <w:p w14:paraId="6261F4DF">
            <w:r>
              <w:rPr>
                <w:rFonts w:ascii="宋体" w:hAnsi="宋体" w:eastAsia="宋体"/>
                <w:sz w:val="21"/>
              </w:rPr>
              <w:t>做店铺转化与客单提升</w:t>
            </w:r>
          </w:p>
        </w:tc>
      </w:tr>
      <w:tr w14:paraId="44631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07092D2">
            <w:r>
              <w:rPr>
                <w:rFonts w:ascii="宋体" w:hAnsi="宋体" w:eastAsia="宋体"/>
                <w:sz w:val="21"/>
              </w:rPr>
              <w:t>会员运营</w:t>
            </w:r>
          </w:p>
        </w:tc>
        <w:tc>
          <w:tcPr>
            <w:tcW w:w="3288" w:type="dxa"/>
          </w:tcPr>
          <w:p w14:paraId="328E471F">
            <w:r>
              <w:rPr>
                <w:rFonts w:ascii="宋体" w:hAnsi="宋体" w:eastAsia="宋体"/>
                <w:sz w:val="21"/>
              </w:rPr>
              <w:t>勋章/禀赋效应 → 会员等级权益</w:t>
            </w:r>
          </w:p>
        </w:tc>
        <w:tc>
          <w:tcPr>
            <w:tcW w:w="3628" w:type="dxa"/>
          </w:tcPr>
          <w:p w14:paraId="61818966">
            <w:r>
              <w:rPr>
                <w:rFonts w:ascii="宋体" w:hAnsi="宋体" w:eastAsia="宋体"/>
                <w:sz w:val="21"/>
              </w:rPr>
              <w:t>设计等级、权益与切换成本</w:t>
            </w:r>
          </w:p>
        </w:tc>
      </w:tr>
    </w:tbl>
    <w:p w14:paraId="01932ED3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这就是运营岗“壁垒低但可迁移”的卖点：不是每个岗都从零学，而是带一套底层方法过去，快速适配。投递时，这份报告展示的不是“我懂芭芭农场”，而是“我能从任意产品里抽出可迁移的运营方法”——后者才是 HR 愿意买单的东西。</w:t>
      </w:r>
    </w:p>
    <w:p w14:paraId="230FBF09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但迁移不是万能钥匙，得知道什么能搬、什么不能搬。这套打法的适用边界有三条：用户有可归集的碎片化时间（日均 3–15 分钟）、有成本可控的实物/权益钩子、目标行为是高频低客单而非低频高客单。三条都满足，五段闭环可直接套；缺哪条就要改哪段。B2B 运营用户日均打开频次极低，“每日签到”不成立，应把“频次”换成“关键动作触发”（如上传文件、审批完成），奖励从“每日可得”改为“每完成一次可得”；工具类运营把“赛季制”换成“功能解锁进度条”；内容运营把“水果”换成“独家内容解锁”。电商、会员、社群运营基本可直接套用。知道不能搬的部分怎么改，比知道能搬什么更值钱。</w:t>
      </w:r>
    </w:p>
    <w:p w14:paraId="1AE0AF69">
      <w:pPr>
        <w:pStyle w:val="3"/>
        <w:keepNext/>
        <w:spacing w:before="360" w:after="160"/>
      </w:pPr>
      <w:bookmarkStart w:id="12" w:name="_Toc24198"/>
      <w:r>
        <w:rPr>
          <w:rFonts w:ascii="黑体" w:hAnsi="黑体" w:eastAsia="黑体"/>
          <w:b/>
          <w:color w:val="1F2329"/>
          <w:sz w:val="30"/>
        </w:rPr>
        <w:t>十一、结论</w:t>
      </w:r>
      <w:bookmarkEnd w:id="12"/>
    </w:p>
    <w:p w14:paraId="4C2C734A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芭芭农场是一套可拆解、可迁移的游戏化留存转化打法。它的五段闭环（钩子→习惯→沉没→转化→续杯）和四机制翻译，构成了一个能复用到大部分运营岗的骨架。</w:t>
      </w:r>
    </w:p>
    <w:p w14:paraId="3619E3F7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运营岗的壁垒，不在某个具体玩法，在把用户心理——沉没成本、目标梯度、变比率、交易效用——沉淀为可重复、可监控、可迁移的运营机制。每条建议都要带 SOP、KPI、前置条件与止损线，否则就是空喊。转化动作要绑“标签 LTV &gt; 补贴成本”才持续；活动资源要算机会成本；社会价值（助农）要显性化为护栏。这些不是加给报告的修饰，是运营能不能真上线的分水岭。</w:t>
      </w:r>
    </w:p>
    <w:p w14:paraId="238A169A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反过来也成立：如果一个运营业务同时满足用户有碎片化时间、有可控成本的钩子、目标行为高频，却没用这五段闭环来设计留存转化，那大概率会踩三类坑——首单后流失、补贴停即用户走、活动结束即数据回落。这套打法的价值不在“用了就赢”，而在“不用大概率会踩这些坑”。</w:t>
      </w:r>
    </w:p>
    <w:p w14:paraId="1A174061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最后一句留给迁移：这份报告真正想证明的，不是“我分析了一个产品”，而是“我能从任意产品里抽出可迁移的运营方法”。对一个壁垒不高的岗位，这种抽象与迁移能力，比懂某一个玩法值钱得多。</w:t>
      </w:r>
    </w:p>
    <w:p w14:paraId="57290D53">
      <w:pPr>
        <w:pStyle w:val="3"/>
        <w:keepNext/>
        <w:spacing w:before="360" w:after="160"/>
      </w:pPr>
      <w:bookmarkStart w:id="13" w:name="_Toc27500"/>
      <w:r>
        <w:rPr>
          <w:rFonts w:ascii="黑体" w:hAnsi="黑体" w:eastAsia="黑体"/>
          <w:b/>
          <w:color w:val="1F2329"/>
          <w:sz w:val="30"/>
        </w:rPr>
        <w:t>附录 A　方法论与局限性</w:t>
      </w:r>
      <w:bookmarkEnd w:id="13"/>
    </w:p>
    <w:p w14:paraId="03CA526D">
      <w:pPr>
        <w:pStyle w:val="16"/>
        <w:spacing w:after="60"/>
        <w:ind w:left="425"/>
      </w:pPr>
      <w:r>
        <w:rPr>
          <w:rFonts w:ascii="宋体" w:hAnsi="宋体" w:eastAsia="宋体"/>
          <w:sz w:val="22"/>
        </w:rPr>
        <w:t>事实基础为公开行业报道、平台规则说明与作者个人产品实测（截至 2026 年 8 月）；产品规则随版本迭代可能变动，数值以 APP 内为准。</w:t>
      </w:r>
    </w:p>
    <w:p w14:paraId="78DFE2A1">
      <w:pPr>
        <w:pStyle w:val="16"/>
        <w:spacing w:after="60"/>
        <w:ind w:left="425"/>
      </w:pPr>
      <w:r>
        <w:rPr>
          <w:rFonts w:ascii="宋体" w:hAnsi="宋体" w:eastAsia="宋体"/>
          <w:sz w:val="22"/>
        </w:rPr>
        <w:t>商品兑换门槛“几万肥料”、日均可得“8–9 千”为作者实测时点的观察，不同用户/版本可能有差异，作为方向性判断使用。</w:t>
      </w:r>
    </w:p>
    <w:p w14:paraId="3E7CAB8F">
      <w:pPr>
        <w:pStyle w:val="16"/>
        <w:spacing w:after="60"/>
        <w:ind w:left="425"/>
      </w:pPr>
      <w:r>
        <w:rPr>
          <w:rFonts w:ascii="宋体" w:hAnsi="宋体" w:eastAsia="宋体"/>
          <w:sz w:val="22"/>
        </w:rPr>
        <w:t>SOP 中的阈值（推送频次、奖励面额、断签召回策略等）为框架性建议，需上岗后以 A/B 与埋点数据校准。</w:t>
      </w:r>
    </w:p>
    <w:p w14:paraId="7DB1A1BF">
      <w:pPr>
        <w:pStyle w:val="16"/>
        <w:spacing w:after="60"/>
        <w:ind w:left="425"/>
      </w:pPr>
      <w:r>
        <w:rPr>
          <w:rFonts w:ascii="宋体" w:hAnsi="宋体" w:eastAsia="宋体"/>
          <w:sz w:val="22"/>
        </w:rPr>
        <w:t>迁移性判断基于运营岗共性（留存+转化），具体岗位仍有差异，需结合业务场景适配，非万能模板。</w:t>
      </w:r>
    </w:p>
    <w:p w14:paraId="5A098BCF">
      <w:pPr>
        <w:pStyle w:val="16"/>
        <w:spacing w:after="60"/>
        <w:ind w:left="425"/>
      </w:pPr>
      <w:r>
        <w:rPr>
          <w:rFonts w:ascii="宋体" w:hAnsi="宋体" w:eastAsia="宋体"/>
          <w:sz w:val="22"/>
        </w:rPr>
        <w:t>轻量归因（holdout）能给出方向性增量判断，但模块级精确归因做不到；标签 LTV 需以 30 天复购数据校准。</w:t>
      </w:r>
    </w:p>
    <w:p w14:paraId="569F9C72">
      <w:pPr>
        <w:pStyle w:val="3"/>
        <w:keepNext/>
        <w:spacing w:before="360" w:after="160"/>
      </w:pPr>
      <w:bookmarkStart w:id="14" w:name="_Toc26924"/>
      <w:r>
        <w:rPr>
          <w:rFonts w:ascii="黑体" w:hAnsi="黑体" w:eastAsia="黑体"/>
          <w:b/>
          <w:color w:val="1F2329"/>
          <w:sz w:val="30"/>
        </w:rPr>
        <w:t>附录 B　参考文献</w:t>
      </w:r>
      <w:bookmarkEnd w:id="14"/>
    </w:p>
    <w:p w14:paraId="16C2889D">
      <w:pPr>
        <w:spacing w:after="60"/>
        <w:ind w:left="283" w:hanging="283"/>
      </w:pPr>
      <w:r>
        <w:rPr>
          <w:rFonts w:ascii="宋体" w:hAnsi="宋体" w:eastAsia="宋体"/>
          <w:sz w:val="20"/>
        </w:rPr>
        <w:t>[1] 中国互联网络信息中心. 第56次中国互联网络发展状况统计报告[R]. 北京: CNNIC, 2025-06.</w:t>
      </w:r>
    </w:p>
    <w:p w14:paraId="511F177E">
      <w:pPr>
        <w:spacing w:after="60"/>
        <w:ind w:left="283" w:hanging="283"/>
      </w:pPr>
      <w:r>
        <w:rPr>
          <w:rFonts w:ascii="宋体" w:hAnsi="宋体" w:eastAsia="宋体"/>
          <w:sz w:val="20"/>
        </w:rPr>
        <w:t>[2] 艾瑞咨询. 2025年电商行业获客成本研究报告[R/OL]. (2025)[2026-08]. 头部电商单客获客成本300–500元。</w:t>
      </w:r>
    </w:p>
    <w:p w14:paraId="362D6C7E">
      <w:pPr>
        <w:spacing w:after="60"/>
        <w:ind w:left="283" w:hanging="283"/>
      </w:pPr>
      <w:r>
        <w:rPr>
          <w:rFonts w:ascii="宋体" w:hAnsi="宋体" w:eastAsia="宋体"/>
          <w:sz w:val="20"/>
        </w:rPr>
        <w:t>[3] 店宝宝. 淘宝芭芭农场在哪里？有什么作用？[EB/OL]. (2024)[2026-08]. 阳光兑换红包、满减券、商品券。</w:t>
      </w:r>
    </w:p>
    <w:p w14:paraId="285A908B">
      <w:pPr>
        <w:spacing w:after="60"/>
        <w:ind w:left="283" w:hanging="283"/>
      </w:pPr>
      <w:r>
        <w:rPr>
          <w:rFonts w:ascii="宋体" w:hAnsi="宋体" w:eastAsia="宋体"/>
          <w:sz w:val="20"/>
        </w:rPr>
        <w:t>[4] 淘宝卖家中心. 淘宝卖家怎么玩转芭芭农场[EB/OL]. (2024)[2026-08]. 浇水/任务积累能量兑换现金红包、优惠券。</w:t>
      </w:r>
    </w:p>
    <w:p w14:paraId="2186BA3B">
      <w:pPr>
        <w:spacing w:after="60"/>
        <w:ind w:left="283" w:hanging="283"/>
      </w:pPr>
      <w:r>
        <w:rPr>
          <w:rFonts w:ascii="宋体" w:hAnsi="宋体" w:eastAsia="宋体"/>
          <w:sz w:val="20"/>
        </w:rPr>
        <w:t>[5] 上游新闻. 打卡一个月领一箱免费水果，电商巨头的“免费水果生意”[N/OL]. 腾讯新闻, 2020-08.</w:t>
      </w:r>
    </w:p>
    <w:p w14:paraId="689333CC">
      <w:pPr>
        <w:spacing w:after="60"/>
        <w:ind w:left="283" w:hanging="283"/>
      </w:pPr>
      <w:r>
        <w:rPr>
          <w:rFonts w:ascii="宋体" w:hAnsi="宋体" w:eastAsia="宋体"/>
          <w:sz w:val="20"/>
        </w:rPr>
        <w:t>[6] 人民网重庆频道. 打卡一月领箱水果 电商巨头“种水果”种的是啥[N/OL]. 2020-08.</w:t>
      </w:r>
    </w:p>
    <w:p w14:paraId="5A5D47AB">
      <w:pPr>
        <w:spacing w:after="60"/>
        <w:ind w:left="283" w:hanging="283"/>
      </w:pPr>
      <w:r>
        <w:rPr>
          <w:rFonts w:ascii="宋体" w:hAnsi="宋体" w:eastAsia="宋体"/>
          <w:sz w:val="20"/>
        </w:rPr>
        <w:t>[7] 行业公开资料. 芭芭农场玩法说明[EB/OL]. (2025)[2026-08]. 0.01元包邮兑换、约15级成熟、合种加速。</w:t>
      </w:r>
    </w:p>
    <w:p w14:paraId="4DBA2102">
      <w:pPr>
        <w:spacing w:after="60"/>
        <w:ind w:left="283" w:hanging="283"/>
      </w:pPr>
      <w:r>
        <w:rPr>
          <w:rFonts w:ascii="宋体" w:hAnsi="宋体" w:eastAsia="宋体"/>
          <w:sz w:val="20"/>
        </w:rPr>
        <w:t>[8] 余可洁. 支付宝芭芭农场产品实测观察[Z]. 2026-08. 商品门槛约几万肥料、日均可得约8–9千。</w:t>
      </w:r>
    </w:p>
    <w:p w14:paraId="0D7D9D6B"/>
    <w:p w14:paraId="1EDF1412">
      <w:pPr>
        <w:jc w:val="center"/>
      </w:pPr>
      <w:r>
        <w:rPr>
          <w:rFonts w:ascii="宋体" w:hAnsi="宋体" w:eastAsia="宋体"/>
          <w:color w:val="808080"/>
          <w:sz w:val="18"/>
        </w:rPr>
        <w:t>本报告所有数值均标注假设或来源；产品机制以实际 APP 规则为准。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120971">
    <w:pPr>
      <w:pStyle w:val="24"/>
      <w:jc w:val="center"/>
    </w:pPr>
    <w:r>
      <w:rPr>
        <w:rFonts w:ascii="宋体" w:hAnsi="宋体" w:eastAsia="宋体"/>
        <w:color w:val="808080"/>
        <w:sz w:val="18"/>
      </w:rPr>
      <w:t xml:space="preserve">第 </w:t>
    </w:r>
    <w:r>
      <w:rPr>
        <w:rFonts w:ascii="宋体" w:hAnsi="宋体" w:eastAsia="宋体"/>
        <w:color w:val="808080"/>
        <w:sz w:val="18"/>
      </w:rPr>
      <w:fldChar w:fldCharType="begin"/>
    </w:r>
    <w:r>
      <w:rPr>
        <w:rFonts w:ascii="宋体" w:hAnsi="宋体" w:eastAsia="宋体"/>
        <w:color w:val="808080"/>
        <w:sz w:val="18"/>
      </w:rPr>
      <w:instrText xml:space="preserve">PAGE</w:instrText>
    </w:r>
    <w:r>
      <w:rPr>
        <w:rFonts w:ascii="宋体" w:hAnsi="宋体" w:eastAsia="宋体"/>
        <w:color w:val="808080"/>
        <w:sz w:val="18"/>
      </w:rPr>
      <w:fldChar w:fldCharType="end"/>
    </w:r>
    <w:r>
      <w:rPr>
        <w:rFonts w:ascii="宋体" w:hAnsi="宋体" w:eastAsia="宋体"/>
        <w:color w:val="80808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8ED03">
    <w:pPr>
      <w:pStyle w:val="25"/>
      <w:jc w:val="center"/>
    </w:pPr>
    <w:r>
      <w:rPr>
        <w:rFonts w:ascii="宋体" w:hAnsi="宋体" w:eastAsia="宋体"/>
        <w:color w:val="808080"/>
        <w:sz w:val="18"/>
      </w:rPr>
      <w:t>支付宝芭芭农场运营分析报告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4YzViNjU0Mzg5NjgxZGM0ZmRlN2Y5ZDI1YmY5OG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C0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5895</Words>
  <Characters>6410</Characters>
  <Lines>0</Lines>
  <Paragraphs>0</Paragraphs>
  <TotalTime>0</TotalTime>
  <ScaleCrop>false</ScaleCrop>
  <LinksUpToDate>false</LinksUpToDate>
  <CharactersWithSpaces>6636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.</cp:lastModifiedBy>
  <dcterms:modified xsi:type="dcterms:W3CDTF">2026-08-17T13:54:50Z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C75D5CE0379F4412B877890A79A8B1D1_12</vt:lpwstr>
  </property>
</Properties>
</file>