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EA2618"/>
    <w:p w14:paraId="0FDE5567"/>
    <w:p w14:paraId="4C14283B"/>
    <w:p w14:paraId="4A9826A9">
      <w:pPr>
        <w:spacing w:before="0" w:after="40"/>
        <w:jc w:val="center"/>
      </w:pPr>
      <w:r>
        <w:rPr>
          <w:rFonts w:ascii="宋体" w:hAnsi="宋体" w:eastAsia="宋体"/>
          <w:b w:val="0"/>
          <w:color w:val="5B6470"/>
          <w:sz w:val="26"/>
        </w:rPr>
        <w:t>互联网行业研究报告</w:t>
      </w:r>
    </w:p>
    <w:p w14:paraId="0B8265DF">
      <w:pPr>
        <w:spacing w:before="0" w:after="480"/>
        <w:jc w:val="center"/>
      </w:pPr>
      <w:r>
        <w:rPr>
          <w:rFonts w:ascii="宋体" w:hAnsi="宋体" w:eastAsia="宋体"/>
          <w:b w:val="0"/>
          <w:color w:val="9AA0A6"/>
          <w:sz w:val="20"/>
        </w:rPr>
        <w:t>Internet Industry Research</w:t>
      </w:r>
    </w:p>
    <w:p w14:paraId="2509946D">
      <w:pPr>
        <w:spacing w:after="160"/>
        <w:jc w:val="center"/>
      </w:pPr>
      <w:r>
        <w:rPr>
          <w:rFonts w:ascii="黑体" w:hAnsi="黑体" w:eastAsia="黑体"/>
          <w:b/>
          <w:color w:val="1F2329"/>
          <w:sz w:val="44"/>
        </w:rPr>
        <w:t>“种”出来的交易</w:t>
      </w:r>
    </w:p>
    <w:p w14:paraId="5993F149">
      <w:pPr>
        <w:spacing w:after="560"/>
        <w:jc w:val="center"/>
      </w:pPr>
      <w:r>
        <w:rPr>
          <w:rFonts w:ascii="黑体" w:hAnsi="黑体" w:eastAsia="黑体"/>
          <w:color w:val="333B43"/>
          <w:sz w:val="26"/>
        </w:rPr>
        <w:t>——支付宝芭芭农场的战略定位、护城河与投资启示</w:t>
      </w:r>
    </w:p>
    <w:p w14:paraId="488A7536">
      <w:pPr>
        <w:spacing w:before="0" w:after="800"/>
        <w:jc w:val="center"/>
      </w:pPr>
      <w:r>
        <w:rPr>
          <w:rFonts w:ascii="宋体" w:hAnsi="宋体" w:eastAsia="宋体"/>
          <w:b w:val="0"/>
          <w:color w:val="5B6470"/>
          <w:sz w:val="22"/>
        </w:rPr>
        <w:t>（互联网行业研究 / 战略研判视角）</w:t>
      </w:r>
    </w:p>
    <w:p w14:paraId="1E60C21B">
      <w:pPr>
        <w:spacing w:before="0" w:after="80"/>
        <w:jc w:val="center"/>
      </w:pPr>
      <w:r>
        <w:rPr>
          <w:rFonts w:ascii="宋体" w:hAnsi="宋体" w:eastAsia="宋体"/>
          <w:b w:val="0"/>
          <w:sz w:val="24"/>
        </w:rPr>
        <w:t>撰 写 人：余可洁</w:t>
      </w:r>
    </w:p>
    <w:p w14:paraId="341AE155">
      <w:pPr>
        <w:spacing w:before="0" w:after="80"/>
        <w:jc w:val="center"/>
      </w:pPr>
      <w:r>
        <w:rPr>
          <w:rFonts w:ascii="宋体" w:hAnsi="宋体" w:eastAsia="宋体"/>
          <w:b w:val="0"/>
          <w:sz w:val="24"/>
        </w:rPr>
        <w:t>院    校：吉林大学　经济学专业（2024 级）</w:t>
      </w:r>
    </w:p>
    <w:p w14:paraId="6BC0414E">
      <w:pPr>
        <w:spacing w:before="0" w:after="80"/>
        <w:jc w:val="center"/>
      </w:pPr>
      <w:r>
        <w:rPr>
          <w:rFonts w:ascii="宋体" w:hAnsi="宋体" w:eastAsia="宋体"/>
          <w:b w:val="0"/>
          <w:sz w:val="24"/>
        </w:rPr>
        <w:t>撰写日期：2026 年 8 月</w:t>
      </w:r>
    </w:p>
    <w:p w14:paraId="7E4BD72A">
      <w:pPr>
        <w:spacing w:before="0" w:after="80"/>
        <w:jc w:val="center"/>
      </w:pPr>
      <w:r>
        <w:rPr>
          <w:rFonts w:ascii="宋体" w:hAnsi="宋体" w:eastAsia="宋体"/>
          <w:b w:val="0"/>
          <w:color w:val="5B6470"/>
          <w:sz w:val="21"/>
        </w:rPr>
        <w:t>分析视角：行业研判 × 战略定位 × 变现效率 × 估值前瞻变量</w:t>
      </w:r>
    </w:p>
    <w:p w14:paraId="5D6A8D6C">
      <w:r>
        <w:br w:type="page"/>
      </w:r>
    </w:p>
    <w:p w14:paraId="607078A3">
      <w:pPr>
        <w:pStyle w:val="3"/>
        <w:keepNext/>
        <w:spacing w:before="360" w:after="160"/>
      </w:pPr>
      <w:bookmarkStart w:id="0" w:name="_Toc24800"/>
      <w:r>
        <w:rPr>
          <w:rFonts w:ascii="黑体" w:hAnsi="黑体" w:eastAsia="黑体"/>
          <w:b/>
          <w:color w:val="1F2329"/>
          <w:sz w:val="30"/>
        </w:rPr>
        <w:t>目录</w:t>
      </w:r>
      <w:bookmarkEnd w:id="0"/>
    </w:p>
    <w:p w14:paraId="499910E3">
      <w:pPr>
        <w:pStyle w:val="26"/>
        <w:tabs>
          <w:tab w:val="right" w:leader="dot" w:pos="8640"/>
        </w:tabs>
      </w:pPr>
      <w:bookmarkStart w:id="18" w:name="_GoBack"/>
      <w:bookmarkEnd w:id="18"/>
      <w:r>
        <w:fldChar w:fldCharType="begin"/>
      </w:r>
      <w:r>
        <w:instrText xml:space="preserve">TOC \o "1-2" \h \z \u</w:instrText>
      </w:r>
      <w:r>
        <w:fldChar w:fldCharType="separate"/>
      </w:r>
      <w:r>
        <w:fldChar w:fldCharType="begin"/>
      </w:r>
      <w:r>
        <w:instrText xml:space="preserve"> HYPERLINK \l _Toc24800 </w:instrText>
      </w:r>
      <w:r>
        <w:fldChar w:fldCharType="separate"/>
      </w:r>
      <w:r>
        <w:rPr>
          <w:rFonts w:ascii="黑体" w:hAnsi="黑体" w:eastAsia="黑体"/>
        </w:rPr>
        <w:t>目录</w:t>
      </w:r>
      <w:r>
        <w:tab/>
      </w:r>
      <w:r>
        <w:fldChar w:fldCharType="begin"/>
      </w:r>
      <w:r>
        <w:instrText xml:space="preserve"> PAGEREF _Toc24800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727D8BED">
      <w:pPr>
        <w:pStyle w:val="26"/>
        <w:tabs>
          <w:tab w:val="right" w:leader="dot" w:pos="8640"/>
        </w:tabs>
      </w:pPr>
      <w:r>
        <w:fldChar w:fldCharType="begin"/>
      </w:r>
      <w:r>
        <w:instrText xml:space="preserve"> HYPERLINK \l _Toc31103 </w:instrText>
      </w:r>
      <w:r>
        <w:fldChar w:fldCharType="separate"/>
      </w:r>
      <w:r>
        <w:rPr>
          <w:rFonts w:ascii="黑体" w:hAnsi="黑体" w:eastAsia="黑体"/>
        </w:rPr>
        <w:t>摘要</w:t>
      </w:r>
      <w:r>
        <w:tab/>
      </w:r>
      <w:r>
        <w:fldChar w:fldCharType="begin"/>
      </w:r>
      <w:r>
        <w:instrText xml:space="preserve"> PAGEREF _Toc31103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5627C573">
      <w:pPr>
        <w:pStyle w:val="26"/>
        <w:tabs>
          <w:tab w:val="right" w:leader="dot" w:pos="8640"/>
        </w:tabs>
      </w:pPr>
      <w:r>
        <w:fldChar w:fldCharType="begin"/>
      </w:r>
      <w:r>
        <w:instrText xml:space="preserve"> HYPERLINK \l _Toc28697 </w:instrText>
      </w:r>
      <w:r>
        <w:fldChar w:fldCharType="separate"/>
      </w:r>
      <w:r>
        <w:rPr>
          <w:rFonts w:ascii="黑体" w:hAnsi="黑体" w:eastAsia="黑体"/>
        </w:rPr>
        <w:t>一、核心观点与研判框架</w:t>
      </w:r>
      <w:r>
        <w:tab/>
      </w:r>
      <w:r>
        <w:fldChar w:fldCharType="begin"/>
      </w:r>
      <w:r>
        <w:instrText xml:space="preserve"> PAGEREF _Toc28697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5DF6A677">
      <w:pPr>
        <w:pStyle w:val="26"/>
        <w:tabs>
          <w:tab w:val="right" w:leader="dot" w:pos="8640"/>
        </w:tabs>
      </w:pPr>
      <w:r>
        <w:fldChar w:fldCharType="begin"/>
      </w:r>
      <w:r>
        <w:instrText xml:space="preserve"> HYPERLINK \l _Toc11609 </w:instrText>
      </w:r>
      <w:r>
        <w:fldChar w:fldCharType="separate"/>
      </w:r>
      <w:r>
        <w:rPr>
          <w:rFonts w:ascii="黑体" w:hAnsi="黑体" w:eastAsia="黑体"/>
        </w:rPr>
        <w:t>二、行业背景：存量博弈与超级 App 的留存战</w:t>
      </w:r>
      <w:r>
        <w:tab/>
      </w:r>
      <w:r>
        <w:fldChar w:fldCharType="begin"/>
      </w:r>
      <w:r>
        <w:instrText xml:space="preserve"> PAGEREF _Toc11609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6191DA9D">
      <w:pPr>
        <w:pStyle w:val="26"/>
        <w:tabs>
          <w:tab w:val="right" w:leader="dot" w:pos="8640"/>
        </w:tabs>
      </w:pPr>
      <w:r>
        <w:fldChar w:fldCharType="begin"/>
      </w:r>
      <w:r>
        <w:instrText xml:space="preserve"> HYPERLINK \l _Toc11038 </w:instrText>
      </w:r>
      <w:r>
        <w:fldChar w:fldCharType="separate"/>
      </w:r>
      <w:r>
        <w:rPr>
          <w:rFonts w:ascii="黑体" w:hAnsi="黑体" w:eastAsia="黑体"/>
        </w:rPr>
        <w:t>三、战略定位：生态中的“留存+导购”中间层</w:t>
      </w:r>
      <w:r>
        <w:tab/>
      </w:r>
      <w:r>
        <w:fldChar w:fldCharType="begin"/>
      </w:r>
      <w:r>
        <w:instrText xml:space="preserve"> PAGEREF _Toc11038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17DD23E0">
      <w:pPr>
        <w:pStyle w:val="26"/>
        <w:tabs>
          <w:tab w:val="right" w:leader="dot" w:pos="8640"/>
        </w:tabs>
      </w:pPr>
      <w:r>
        <w:fldChar w:fldCharType="begin"/>
      </w:r>
      <w:r>
        <w:instrText xml:space="preserve"> HYPERLINK \l _Toc1840 </w:instrText>
      </w:r>
      <w:r>
        <w:fldChar w:fldCharType="separate"/>
      </w:r>
      <w:r>
        <w:rPr>
          <w:rFonts w:ascii="黑体" w:hAnsi="黑体" w:eastAsia="黑体"/>
        </w:rPr>
        <w:t>四、商业模式与变现路径</w:t>
      </w:r>
      <w:r>
        <w:tab/>
      </w:r>
      <w:r>
        <w:fldChar w:fldCharType="begin"/>
      </w:r>
      <w:r>
        <w:instrText xml:space="preserve"> PAGEREF _Toc1840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26324564">
      <w:pPr>
        <w:pStyle w:val="26"/>
        <w:tabs>
          <w:tab w:val="right" w:leader="dot" w:pos="8640"/>
        </w:tabs>
      </w:pPr>
      <w:r>
        <w:fldChar w:fldCharType="begin"/>
      </w:r>
      <w:r>
        <w:instrText xml:space="preserve"> HYPERLINK \l _Toc20742 </w:instrText>
      </w:r>
      <w:r>
        <w:fldChar w:fldCharType="separate"/>
      </w:r>
      <w:r>
        <w:rPr>
          <w:rFonts w:ascii="黑体" w:hAnsi="黑体" w:eastAsia="黑体"/>
        </w:rPr>
        <w:t>五、竞争格局：错位竞争而非直接替代</w:t>
      </w:r>
      <w:r>
        <w:tab/>
      </w:r>
      <w:r>
        <w:fldChar w:fldCharType="begin"/>
      </w:r>
      <w:r>
        <w:instrText xml:space="preserve"> PAGEREF _Toc20742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2CE2F610">
      <w:pPr>
        <w:pStyle w:val="26"/>
        <w:tabs>
          <w:tab w:val="right" w:leader="dot" w:pos="8640"/>
        </w:tabs>
      </w:pPr>
      <w:r>
        <w:fldChar w:fldCharType="begin"/>
      </w:r>
      <w:r>
        <w:instrText xml:space="preserve"> HYPERLINK \l _Toc32467 </w:instrText>
      </w:r>
      <w:r>
        <w:fldChar w:fldCharType="separate"/>
      </w:r>
      <w:r>
        <w:rPr>
          <w:rFonts w:ascii="黑体" w:hAnsi="黑体" w:eastAsia="黑体"/>
        </w:rPr>
        <w:t>六、护城河与可复制性</w:t>
      </w:r>
      <w:r>
        <w:tab/>
      </w:r>
      <w:r>
        <w:fldChar w:fldCharType="begin"/>
      </w:r>
      <w:r>
        <w:instrText xml:space="preserve"> PAGEREF _Toc32467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1FEDC4E6">
      <w:pPr>
        <w:pStyle w:val="26"/>
        <w:tabs>
          <w:tab w:val="right" w:leader="dot" w:pos="8640"/>
        </w:tabs>
      </w:pPr>
      <w:r>
        <w:fldChar w:fldCharType="begin"/>
      </w:r>
      <w:r>
        <w:instrText xml:space="preserve"> HYPERLINK \l _Toc9004 </w:instrText>
      </w:r>
      <w:r>
        <w:fldChar w:fldCharType="separate"/>
      </w:r>
      <w:r>
        <w:rPr>
          <w:rFonts w:ascii="黑体" w:hAnsi="黑体" w:eastAsia="黑体"/>
        </w:rPr>
        <w:t>七、变现效率与单位经济（行研视角）</w:t>
      </w:r>
      <w:r>
        <w:tab/>
      </w:r>
      <w:r>
        <w:fldChar w:fldCharType="begin"/>
      </w:r>
      <w:r>
        <w:instrText xml:space="preserve"> PAGEREF _Toc9004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457D6BF3">
      <w:pPr>
        <w:pStyle w:val="29"/>
        <w:tabs>
          <w:tab w:val="right" w:leader="dot" w:pos="8640"/>
        </w:tabs>
      </w:pPr>
      <w:r>
        <w:fldChar w:fldCharType="begin"/>
      </w:r>
      <w:r>
        <w:instrText xml:space="preserve"> HYPERLINK \l _Toc32212 </w:instrText>
      </w:r>
      <w:r>
        <w:fldChar w:fldCharType="separate"/>
      </w:r>
      <w:r>
        <w:rPr>
          <w:rFonts w:ascii="黑体" w:hAnsi="黑体" w:eastAsia="黑体"/>
        </w:rPr>
        <w:t>7.1 单券单位经济</w:t>
      </w:r>
      <w:r>
        <w:tab/>
      </w:r>
      <w:r>
        <w:fldChar w:fldCharType="begin"/>
      </w:r>
      <w:r>
        <w:instrText xml:space="preserve"> PAGEREF _Toc32212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78840B4B">
      <w:pPr>
        <w:pStyle w:val="29"/>
        <w:tabs>
          <w:tab w:val="right" w:leader="dot" w:pos="8640"/>
        </w:tabs>
      </w:pPr>
      <w:r>
        <w:fldChar w:fldCharType="begin"/>
      </w:r>
      <w:r>
        <w:instrText xml:space="preserve"> HYPERLINK \l _Toc25589 </w:instrText>
      </w:r>
      <w:r>
        <w:fldChar w:fldCharType="separate"/>
      </w:r>
      <w:r>
        <w:rPr>
          <w:rFonts w:ascii="黑体" w:hAnsi="黑体" w:eastAsia="黑体"/>
        </w:rPr>
        <w:t>7.2 分群变现效率</w:t>
      </w:r>
      <w:r>
        <w:tab/>
      </w:r>
      <w:r>
        <w:fldChar w:fldCharType="begin"/>
      </w:r>
      <w:r>
        <w:instrText xml:space="preserve"> PAGEREF _Toc25589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248A5E28">
      <w:pPr>
        <w:pStyle w:val="29"/>
        <w:tabs>
          <w:tab w:val="right" w:leader="dot" w:pos="8640"/>
        </w:tabs>
      </w:pPr>
      <w:r>
        <w:fldChar w:fldCharType="begin"/>
      </w:r>
      <w:r>
        <w:instrText xml:space="preserve"> HYPERLINK \l _Toc10160 </w:instrText>
      </w:r>
      <w:r>
        <w:fldChar w:fldCharType="separate"/>
      </w:r>
      <w:r>
        <w:rPr>
          <w:rFonts w:ascii="黑体" w:hAnsi="黑体" w:eastAsia="黑体"/>
        </w:rPr>
        <w:t>7.3 资源效率：集团视角的硬约束</w:t>
      </w:r>
      <w:r>
        <w:tab/>
      </w:r>
      <w:r>
        <w:fldChar w:fldCharType="begin"/>
      </w:r>
      <w:r>
        <w:instrText xml:space="preserve"> PAGEREF _Toc10160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0ABA07CE">
      <w:pPr>
        <w:pStyle w:val="26"/>
        <w:tabs>
          <w:tab w:val="right" w:leader="dot" w:pos="8640"/>
        </w:tabs>
      </w:pPr>
      <w:r>
        <w:fldChar w:fldCharType="begin"/>
      </w:r>
      <w:r>
        <w:instrText xml:space="preserve"> HYPERLINK \l _Toc12503 </w:instrText>
      </w:r>
      <w:r>
        <w:fldChar w:fldCharType="separate"/>
      </w:r>
      <w:r>
        <w:rPr>
          <w:rFonts w:ascii="黑体" w:hAnsi="黑体" w:eastAsia="黑体"/>
        </w:rPr>
        <w:t>八、演化路径与情景分析</w:t>
      </w:r>
      <w:r>
        <w:tab/>
      </w:r>
      <w:r>
        <w:fldChar w:fldCharType="begin"/>
      </w:r>
      <w:r>
        <w:instrText xml:space="preserve"> PAGEREF _Toc12503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21A7664C">
      <w:pPr>
        <w:pStyle w:val="26"/>
        <w:tabs>
          <w:tab w:val="right" w:leader="dot" w:pos="8640"/>
        </w:tabs>
      </w:pPr>
      <w:r>
        <w:fldChar w:fldCharType="begin"/>
      </w:r>
      <w:r>
        <w:instrText xml:space="preserve"> HYPERLINK \l _Toc13390 </w:instrText>
      </w:r>
      <w:r>
        <w:fldChar w:fldCharType="separate"/>
      </w:r>
      <w:r>
        <w:rPr>
          <w:rFonts w:ascii="黑体" w:hAnsi="黑体" w:eastAsia="黑体"/>
        </w:rPr>
        <w:t>九、催化剂与风险</w:t>
      </w:r>
      <w:r>
        <w:tab/>
      </w:r>
      <w:r>
        <w:fldChar w:fldCharType="begin"/>
      </w:r>
      <w:r>
        <w:instrText xml:space="preserve"> PAGEREF _Toc13390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737C4401">
      <w:pPr>
        <w:pStyle w:val="26"/>
        <w:tabs>
          <w:tab w:val="right" w:leader="dot" w:pos="8640"/>
        </w:tabs>
      </w:pPr>
      <w:r>
        <w:fldChar w:fldCharType="begin"/>
      </w:r>
      <w:r>
        <w:instrText xml:space="preserve"> HYPERLINK \l _Toc14673 </w:instrText>
      </w:r>
      <w:r>
        <w:fldChar w:fldCharType="separate"/>
      </w:r>
      <w:r>
        <w:rPr>
          <w:rFonts w:ascii="黑体" w:hAnsi="黑体" w:eastAsia="黑体"/>
        </w:rPr>
        <w:t>十、投资启示与前瞻变量</w:t>
      </w:r>
      <w:r>
        <w:tab/>
      </w:r>
      <w:r>
        <w:fldChar w:fldCharType="begin"/>
      </w:r>
      <w:r>
        <w:instrText xml:space="preserve"> PAGEREF _Toc14673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7B30C812">
      <w:pPr>
        <w:pStyle w:val="26"/>
        <w:tabs>
          <w:tab w:val="right" w:leader="dot" w:pos="8640"/>
        </w:tabs>
      </w:pPr>
      <w:r>
        <w:fldChar w:fldCharType="begin"/>
      </w:r>
      <w:r>
        <w:instrText xml:space="preserve"> HYPERLINK \l _Toc30593 </w:instrText>
      </w:r>
      <w:r>
        <w:fldChar w:fldCharType="separate"/>
      </w:r>
      <w:r>
        <w:rPr>
          <w:rFonts w:ascii="黑体" w:hAnsi="黑体" w:eastAsia="黑体"/>
        </w:rPr>
        <w:t>十一、结论与评级式判断</w:t>
      </w:r>
      <w:r>
        <w:tab/>
      </w:r>
      <w:r>
        <w:fldChar w:fldCharType="begin"/>
      </w:r>
      <w:r>
        <w:instrText xml:space="preserve"> PAGEREF _Toc30593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5F05755E">
      <w:pPr>
        <w:pStyle w:val="26"/>
        <w:tabs>
          <w:tab w:val="right" w:leader="dot" w:pos="8640"/>
        </w:tabs>
      </w:pPr>
      <w:r>
        <w:fldChar w:fldCharType="begin"/>
      </w:r>
      <w:r>
        <w:instrText xml:space="preserve"> HYPERLINK \l _Toc8955 </w:instrText>
      </w:r>
      <w:r>
        <w:fldChar w:fldCharType="separate"/>
      </w:r>
      <w:r>
        <w:rPr>
          <w:rFonts w:ascii="黑体" w:hAnsi="黑体" w:eastAsia="黑体"/>
        </w:rPr>
        <w:t>附录 A　方法论与局限性</w:t>
      </w:r>
      <w:r>
        <w:tab/>
      </w:r>
      <w:r>
        <w:fldChar w:fldCharType="begin"/>
      </w:r>
      <w:r>
        <w:instrText xml:space="preserve"> PAGEREF _Toc8955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 w14:paraId="25E7928E">
      <w:pPr>
        <w:pStyle w:val="26"/>
        <w:tabs>
          <w:tab w:val="right" w:leader="dot" w:pos="8640"/>
        </w:tabs>
      </w:pPr>
      <w:r>
        <w:fldChar w:fldCharType="begin"/>
      </w:r>
      <w:r>
        <w:instrText xml:space="preserve"> HYPERLINK \l _Toc17761 </w:instrText>
      </w:r>
      <w:r>
        <w:fldChar w:fldCharType="separate"/>
      </w:r>
      <w:r>
        <w:rPr>
          <w:rFonts w:ascii="黑体" w:hAnsi="黑体" w:eastAsia="黑体"/>
        </w:rPr>
        <w:t>附录 B　参考文献</w:t>
      </w:r>
      <w:r>
        <w:tab/>
      </w:r>
      <w:r>
        <w:fldChar w:fldCharType="begin"/>
      </w:r>
      <w:r>
        <w:instrText xml:space="preserve"> PAGEREF _Toc17761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 w14:paraId="4C6A0275">
      <w:r>
        <w:fldChar w:fldCharType="end"/>
      </w:r>
    </w:p>
    <w:p w14:paraId="2EDE9FDB">
      <w:r>
        <w:br w:type="page"/>
      </w:r>
    </w:p>
    <w:p w14:paraId="4C522350">
      <w:pPr>
        <w:pStyle w:val="3"/>
        <w:keepNext/>
        <w:spacing w:before="360" w:after="160"/>
      </w:pPr>
      <w:bookmarkStart w:id="1" w:name="_Toc31103"/>
      <w:r>
        <w:rPr>
          <w:rFonts w:ascii="黑体" w:hAnsi="黑体" w:eastAsia="黑体"/>
          <w:b/>
          <w:color w:val="1F2329"/>
          <w:sz w:val="30"/>
        </w:rPr>
        <w:t>摘要</w:t>
      </w:r>
      <w:bookmarkEnd w:id="1"/>
    </w:p>
    <w:p w14:paraId="64238067">
      <w:pPr>
        <w:spacing w:before="0" w:after="120"/>
        <w:ind w:firstLine="440"/>
      </w:pPr>
      <w:r>
        <w:rPr>
          <w:rFonts w:ascii="宋体" w:hAnsi="宋体" w:eastAsia="宋体"/>
          <w:b w:val="0"/>
          <w:sz w:val="22"/>
        </w:rPr>
        <w:t>本报告以支付宝芭芭农场为样本，研判存量时代超级 App “游戏化用户运营”赛道的商业价值。核心判断：芭芭农场是阿里/蚂蚁以极低边际成本维系高频 DAU 的战略基础设施，护城河来自生态协同与支付高频底座，与拼多多构成错位竞争。判断成立的前提是模块总价值持续跑赢资源位 RPM、且用户时间机会成本结构不逆转。投资启示：在电商与本地生活估值中，“用户时长 / 留存效率 / 转化率 / 生态协同”应作为前瞻变量前置跟踪。</w:t>
      </w:r>
    </w:p>
    <w:p w14:paraId="66C789E4">
      <w:pPr>
        <w:spacing w:before="80" w:after="120"/>
      </w:pPr>
      <w:r>
        <w:rPr>
          <w:rFonts w:ascii="宋体" w:hAnsi="宋体" w:eastAsia="宋体"/>
          <w:b/>
          <w:sz w:val="21"/>
        </w:rPr>
        <w:t>关键词：游戏化用户运营；超级App；存量博弈；留存效率；护城河；变现路径；估值前瞻变量</w:t>
      </w:r>
    </w:p>
    <w:p w14:paraId="36FEAB85">
      <w:pPr>
        <w:pStyle w:val="3"/>
        <w:keepNext/>
        <w:spacing w:before="360" w:after="160"/>
      </w:pPr>
      <w:bookmarkStart w:id="2" w:name="_Toc28697"/>
      <w:r>
        <w:rPr>
          <w:rFonts w:ascii="黑体" w:hAnsi="黑体" w:eastAsia="黑体"/>
          <w:b/>
          <w:color w:val="1F2329"/>
          <w:sz w:val="30"/>
        </w:rPr>
        <w:t>一、核心观点与研判框架</w:t>
      </w:r>
      <w:bookmarkEnd w:id="2"/>
    </w:p>
    <w:p w14:paraId="4A36DEAA">
      <w:pPr>
        <w:shd w:val="clear" w:color="auto" w:fill="EAF2FF"/>
        <w:spacing w:before="160" w:after="160"/>
      </w:pPr>
      <w:r>
        <w:rPr>
          <w:rFonts w:ascii="宋体" w:hAnsi="宋体" w:eastAsia="宋体"/>
          <w:b/>
          <w:color w:val="0A6CFF"/>
          <w:sz w:val="22"/>
        </w:rPr>
        <w:t>核心命题</w:t>
      </w:r>
      <w:r>
        <w:rPr>
          <w:rFonts w:ascii="宋体" w:hAnsi="宋体" w:eastAsia="宋体"/>
          <w:b/>
          <w:color w:val="0A6CFF"/>
          <w:sz w:val="22"/>
        </w:rPr>
        <w:br w:type="textWrapping"/>
      </w:r>
      <w:r>
        <w:rPr>
          <w:rFonts w:ascii="宋体" w:hAnsi="宋体" w:eastAsia="宋体"/>
          <w:sz w:val="22"/>
        </w:rPr>
        <w:t>芭芭农场是用虚拟货币（肥料）归集跨 APP 碎片化时间、再外溢变现的注意力做市商。其战略价值不在模块内利润，而在以极低边际成本维系阿里/蚂蚁生态的高频底座与导购转化。建议超配关注，但有前提。</w:t>
      </w:r>
    </w:p>
    <w:p w14:paraId="0DDFD5B9">
      <w:pPr>
        <w:spacing w:before="0" w:after="120"/>
        <w:ind w:firstLine="440"/>
      </w:pPr>
      <w:r>
        <w:rPr>
          <w:rFonts w:ascii="宋体" w:hAnsi="宋体" w:eastAsia="宋体"/>
          <w:b w:val="0"/>
          <w:sz w:val="22"/>
        </w:rPr>
        <w:t>行研的首要任务是把一个微观样本放进行业结构里看。芭芭农场看似一个小游戏，实质是存量时代超级 App “以游戏化留存对冲用完即走”的代表性基础设施。本报告按“战略定位—商业模式—竞争格局—护城河—变现效率—演化路径—催化剂与风险—投资启示”八段展开研判。</w:t>
      </w:r>
    </w:p>
    <w:p w14:paraId="2E63AF53">
      <w:pPr>
        <w:spacing w:before="0" w:after="120"/>
        <w:ind w:firstLine="440"/>
      </w:pPr>
      <w:r>
        <w:rPr>
          <w:rFonts w:ascii="宋体" w:hAnsi="宋体" w:eastAsia="宋体"/>
          <w:b w:val="0"/>
          <w:sz w:val="22"/>
        </w:rPr>
        <w:t>判断的方式上，本报告刻意避免“超配/低配”的二选一。一个模块的健康度是在情景之间漂移的，因此后文给出基准/乐观/悲观三情景，并明确“超配”所依赖的前提——前提逆转，判断即逆转。这是行研和点评的分水岭。</w:t>
      </w:r>
    </w:p>
    <w:p w14:paraId="37AD72CA">
      <w:pPr>
        <w:spacing w:before="0" w:after="120"/>
        <w:ind w:firstLine="440"/>
      </w:pPr>
      <w:r>
        <w:rPr>
          <w:rFonts w:ascii="宋体" w:hAnsi="宋体" w:eastAsia="宋体"/>
          <w:b w:val="0"/>
          <w:sz w:val="22"/>
        </w:rPr>
        <w:t>本报告面向三类读者，各节独立性强，可按需跳读：投资机构请重点看第七节（变现效率）、第九节（催化剂与风险）、第十节（估值前瞻变量）；公司战略部请重点看第五节（竞争格局）、第六节（护城河）、第八节（演化情景）；业务负责人请重点看第四节（商业模式）、第七节（单位经济）。好的行研不是把所有东西堆给所有人，是帮读者快速找到他要的那一块。</w:t>
      </w:r>
    </w:p>
    <w:p w14:paraId="34AD8A04">
      <w:pPr>
        <w:pStyle w:val="3"/>
        <w:keepNext/>
        <w:spacing w:before="360" w:after="160"/>
      </w:pPr>
      <w:bookmarkStart w:id="3" w:name="_Toc11609"/>
      <w:r>
        <w:rPr>
          <w:rFonts w:ascii="黑体" w:hAnsi="黑体" w:eastAsia="黑体"/>
          <w:b/>
          <w:color w:val="1F2329"/>
          <w:sz w:val="30"/>
        </w:rPr>
        <w:t>二、行业背景：存量博弈与超级 App 的留存战</w:t>
      </w:r>
      <w:bookmarkEnd w:id="3"/>
    </w:p>
    <w:p w14:paraId="418D7790">
      <w:pPr>
        <w:spacing w:before="0" w:after="120"/>
        <w:ind w:firstLine="440"/>
      </w:pPr>
      <w:r>
        <w:rPr>
          <w:rFonts w:ascii="宋体" w:hAnsi="宋体" w:eastAsia="宋体"/>
          <w:b w:val="0"/>
          <w:sz w:val="22"/>
        </w:rPr>
        <w:t>中国移动互联网流量红利已显著见顶。据 CNNIC 第56次报告，截至 2025 年 6 月，网络购物用户规模 9.76 亿，较半年前仅增 109 万，增速降至 0.1% 的历史低位。增量枯竭的同时，获客成本持续攀升：艾瑞 2025 显示，头部电商单客获客成本已达 300–500 元，同比约 +25%。</w:t>
      </w:r>
    </w:p>
    <w:p w14:paraId="2751C992">
      <w:pPr>
        <w:spacing w:before="0" w:after="120"/>
        <w:ind w:firstLine="440"/>
      </w:pPr>
      <w:r>
        <w:rPr>
          <w:rFonts w:ascii="宋体" w:hAnsi="宋体" w:eastAsia="宋体"/>
          <w:b w:val="0"/>
          <w:sz w:val="22"/>
        </w:rPr>
        <w:t>在这一背景下，超级 App 普遍采用“支付/工具高频底座 + 游戏化留存 + 导购变现”的三层结构，对抗工具型产品“用完即走”的宿命。游戏化用户运营由此从“锦上添花”变为“存量时代的留存基础设施”——这正是芭芭农场的行业意义所在：它不是个案，而是一个赛道的缩影。</w:t>
      </w:r>
    </w:p>
    <w:p w14:paraId="411DC3FE">
      <w:pPr>
        <w:pStyle w:val="3"/>
        <w:keepNext/>
        <w:spacing w:before="360" w:after="160"/>
      </w:pPr>
      <w:bookmarkStart w:id="4" w:name="_Toc11038"/>
      <w:r>
        <w:rPr>
          <w:rFonts w:ascii="黑体" w:hAnsi="黑体" w:eastAsia="黑体"/>
          <w:b/>
          <w:color w:val="1F2329"/>
          <w:sz w:val="30"/>
        </w:rPr>
        <w:t>三、战略定位：生态中的“留存+导购”中间层</w:t>
      </w:r>
      <w:bookmarkEnd w:id="4"/>
    </w:p>
    <w:p w14:paraId="2B34BD88">
      <w:pPr>
        <w:spacing w:before="0" w:after="120"/>
        <w:ind w:firstLine="440"/>
      </w:pPr>
      <w:r>
        <w:rPr>
          <w:rFonts w:ascii="宋体" w:hAnsi="宋体" w:eastAsia="宋体"/>
          <w:b w:val="0"/>
          <w:sz w:val="22"/>
        </w:rPr>
        <w:t>在阿里/蚂蚁生态里，芭芭农场处于三层结构的中间层：底层是支付（高频底座），上层是电商与本地生活（变现），中间层是游戏化留存与导购（见下表）。它的任务不是自己赚钱，而是给支付导流、给电商导购、给生态提粘性。</w:t>
      </w:r>
    </w:p>
    <w:p w14:paraId="44038D94">
      <w:pPr>
        <w:spacing w:before="160" w:after="60"/>
        <w:jc w:val="center"/>
      </w:pPr>
      <w:r>
        <w:rPr>
          <w:rFonts w:ascii="黑体" w:hAnsi="黑体" w:eastAsia="黑体"/>
          <w:b/>
          <w:color w:val="23303F"/>
          <w:sz w:val="21"/>
        </w:rPr>
        <w:t>表 1　阿里/蚂蚁生态三层结构与芭芭农场的定位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0"/>
        <w:gridCol w:w="2180"/>
        <w:gridCol w:w="2739"/>
        <w:gridCol w:w="2837"/>
      </w:tblGrid>
      <w:tr w14:paraId="6BA592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23303F"/>
          </w:tcPr>
          <w:p w14:paraId="2A091E24">
            <w:r>
              <w:rPr>
                <w:rFonts w:ascii="黑体" w:hAnsi="黑体" w:eastAsia="黑体"/>
                <w:b/>
                <w:color w:val="FFFFFF"/>
                <w:sz w:val="21"/>
              </w:rPr>
              <w:t>层级</w:t>
            </w:r>
          </w:p>
        </w:tc>
        <w:tc>
          <w:tcPr>
            <w:tcW w:w="2268" w:type="dxa"/>
            <w:shd w:val="clear" w:color="auto" w:fill="23303F"/>
          </w:tcPr>
          <w:p w14:paraId="3356688E">
            <w:r>
              <w:rPr>
                <w:rFonts w:ascii="黑体" w:hAnsi="黑体" w:eastAsia="黑体"/>
                <w:b/>
                <w:color w:val="FFFFFF"/>
                <w:sz w:val="21"/>
              </w:rPr>
              <w:t>代表能力</w:t>
            </w:r>
          </w:p>
        </w:tc>
        <w:tc>
          <w:tcPr>
            <w:tcW w:w="2835" w:type="dxa"/>
            <w:shd w:val="clear" w:color="auto" w:fill="23303F"/>
          </w:tcPr>
          <w:p w14:paraId="407349A5">
            <w:r>
              <w:rPr>
                <w:rFonts w:ascii="黑体" w:hAnsi="黑体" w:eastAsia="黑体"/>
                <w:b/>
                <w:color w:val="FFFFFF"/>
                <w:sz w:val="21"/>
              </w:rPr>
              <w:t>在生态中的角色</w:t>
            </w:r>
          </w:p>
        </w:tc>
        <w:tc>
          <w:tcPr>
            <w:tcW w:w="2948" w:type="dxa"/>
            <w:shd w:val="clear" w:color="auto" w:fill="23303F"/>
          </w:tcPr>
          <w:p w14:paraId="7A8BB84D">
            <w:r>
              <w:rPr>
                <w:rFonts w:ascii="黑体" w:hAnsi="黑体" w:eastAsia="黑体"/>
                <w:b/>
                <w:color w:val="FFFFFF"/>
                <w:sz w:val="21"/>
              </w:rPr>
              <w:t>芭芭农场的对应</w:t>
            </w:r>
          </w:p>
        </w:tc>
      </w:tr>
      <w:tr w14:paraId="12ADF8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1FA8EC70">
            <w:r>
              <w:rPr>
                <w:rFonts w:ascii="宋体" w:hAnsi="宋体" w:eastAsia="宋体"/>
                <w:sz w:val="21"/>
              </w:rPr>
              <w:t>底层</w:t>
            </w:r>
          </w:p>
        </w:tc>
        <w:tc>
          <w:tcPr>
            <w:tcW w:w="2268" w:type="dxa"/>
          </w:tcPr>
          <w:p w14:paraId="2F226DFA">
            <w:r>
              <w:rPr>
                <w:rFonts w:ascii="宋体" w:hAnsi="宋体" w:eastAsia="宋体"/>
                <w:sz w:val="21"/>
              </w:rPr>
              <w:t>支付/账单</w:t>
            </w:r>
          </w:p>
        </w:tc>
        <w:tc>
          <w:tcPr>
            <w:tcW w:w="2835" w:type="dxa"/>
          </w:tcPr>
          <w:p w14:paraId="46965B80">
            <w:r>
              <w:rPr>
                <w:rFonts w:ascii="宋体" w:hAnsi="宋体" w:eastAsia="宋体"/>
                <w:sz w:val="21"/>
              </w:rPr>
              <w:t>高频底座，导流入口</w:t>
            </w:r>
          </w:p>
        </w:tc>
        <w:tc>
          <w:tcPr>
            <w:tcW w:w="2948" w:type="dxa"/>
          </w:tcPr>
          <w:p w14:paraId="7C10753C">
            <w:r>
              <w:rPr>
                <w:rFonts w:ascii="宋体" w:hAnsi="宋体" w:eastAsia="宋体"/>
                <w:sz w:val="21"/>
              </w:rPr>
              <w:t>支付宝大盘导流至农场</w:t>
            </w:r>
          </w:p>
        </w:tc>
      </w:tr>
      <w:tr w14:paraId="46D747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54018DE6">
            <w:r>
              <w:rPr>
                <w:rFonts w:ascii="宋体" w:hAnsi="宋体" w:eastAsia="宋体"/>
                <w:sz w:val="21"/>
              </w:rPr>
              <w:t>中间层</w:t>
            </w:r>
          </w:p>
        </w:tc>
        <w:tc>
          <w:tcPr>
            <w:tcW w:w="2268" w:type="dxa"/>
          </w:tcPr>
          <w:p w14:paraId="5CE5703C">
            <w:r>
              <w:rPr>
                <w:rFonts w:ascii="宋体" w:hAnsi="宋体" w:eastAsia="宋体"/>
                <w:sz w:val="21"/>
              </w:rPr>
              <w:t>游戏化留存与导购</w:t>
            </w:r>
          </w:p>
        </w:tc>
        <w:tc>
          <w:tcPr>
            <w:tcW w:w="2835" w:type="dxa"/>
          </w:tcPr>
          <w:p w14:paraId="331ACC1E">
            <w:r>
              <w:rPr>
                <w:rFonts w:ascii="宋体" w:hAnsi="宋体" w:eastAsia="宋体"/>
                <w:sz w:val="21"/>
              </w:rPr>
              <w:t>留存/时长/导购转化</w:t>
            </w:r>
          </w:p>
        </w:tc>
        <w:tc>
          <w:tcPr>
            <w:tcW w:w="2948" w:type="dxa"/>
          </w:tcPr>
          <w:p w14:paraId="0E487137">
            <w:r>
              <w:rPr>
                <w:rFonts w:ascii="宋体" w:hAnsi="宋体" w:eastAsia="宋体"/>
                <w:sz w:val="21"/>
              </w:rPr>
              <w:t>芭芭农场（本报告对象）</w:t>
            </w:r>
          </w:p>
        </w:tc>
      </w:tr>
      <w:tr w14:paraId="44CAFE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4D70C8A8">
            <w:r>
              <w:rPr>
                <w:rFonts w:ascii="宋体" w:hAnsi="宋体" w:eastAsia="宋体"/>
                <w:sz w:val="21"/>
              </w:rPr>
              <w:t>上层</w:t>
            </w:r>
          </w:p>
        </w:tc>
        <w:tc>
          <w:tcPr>
            <w:tcW w:w="2268" w:type="dxa"/>
          </w:tcPr>
          <w:p w14:paraId="6E8F044B">
            <w:r>
              <w:rPr>
                <w:rFonts w:ascii="宋体" w:hAnsi="宋体" w:eastAsia="宋体"/>
                <w:sz w:val="21"/>
              </w:rPr>
              <w:t>电商/本地生活</w:t>
            </w:r>
          </w:p>
        </w:tc>
        <w:tc>
          <w:tcPr>
            <w:tcW w:w="2835" w:type="dxa"/>
          </w:tcPr>
          <w:p w14:paraId="33E6DB23">
            <w:r>
              <w:rPr>
                <w:rFonts w:ascii="宋体" w:hAnsi="宋体" w:eastAsia="宋体"/>
                <w:sz w:val="21"/>
              </w:rPr>
              <w:t>变现（GMV/佣金）</w:t>
            </w:r>
          </w:p>
        </w:tc>
        <w:tc>
          <w:tcPr>
            <w:tcW w:w="2948" w:type="dxa"/>
          </w:tcPr>
          <w:p w14:paraId="19957786">
            <w:r>
              <w:rPr>
                <w:rFonts w:ascii="宋体" w:hAnsi="宋体" w:eastAsia="宋体"/>
                <w:sz w:val="21"/>
              </w:rPr>
              <w:t>券核销与外溢成交</w:t>
            </w:r>
          </w:p>
        </w:tc>
      </w:tr>
    </w:tbl>
    <w:p w14:paraId="4C799C1A">
      <w:pPr>
        <w:spacing w:before="0" w:after="120"/>
        <w:ind w:firstLine="440"/>
      </w:pPr>
      <w:r>
        <w:rPr>
          <w:rFonts w:ascii="宋体" w:hAnsi="宋体" w:eastAsia="宋体"/>
          <w:b w:val="0"/>
          <w:sz w:val="22"/>
        </w:rPr>
        <w:t>用“基础设施”而非“功能”来定位，是行研视角的关键转折：功能会被替代，基础设施会被持续投入。这决定了评估它的口径不是“模块内 ROI”，而是“它对生态高频底座与变现的边际贡献”。</w:t>
      </w:r>
    </w:p>
    <w:p w14:paraId="331ECA10">
      <w:pPr>
        <w:pStyle w:val="3"/>
        <w:keepNext/>
        <w:spacing w:before="360" w:after="160"/>
      </w:pPr>
      <w:bookmarkStart w:id="5" w:name="_Toc1840"/>
      <w:r>
        <w:rPr>
          <w:rFonts w:ascii="黑体" w:hAnsi="黑体" w:eastAsia="黑体"/>
          <w:b/>
          <w:color w:val="1F2329"/>
          <w:sz w:val="30"/>
        </w:rPr>
        <w:t>四、商业模式与变现路径</w:t>
      </w:r>
      <w:bookmarkEnd w:id="5"/>
    </w:p>
    <w:p w14:paraId="2F665D27">
      <w:pPr>
        <w:spacing w:before="0" w:after="120"/>
        <w:ind w:firstLine="440"/>
      </w:pPr>
      <w:r>
        <w:rPr>
          <w:rFonts w:ascii="宋体" w:hAnsi="宋体" w:eastAsia="宋体"/>
          <w:b w:val="0"/>
          <w:sz w:val="22"/>
        </w:rPr>
        <w:t>芭芭农场的本质是一个注意力做市商：用一种边际成本趋近于零的虚拟货币（肥料），把分散在淘宝浏览、蚂蚁庄园、蚂蚁森林、农场乐园等场景的注意力归集到农场，再统一变现。变现路径有三条（见下表）。</w:t>
      </w:r>
    </w:p>
    <w:p w14:paraId="618D9655">
      <w:pPr>
        <w:spacing w:before="160" w:after="60"/>
        <w:jc w:val="center"/>
      </w:pPr>
      <w:r>
        <w:rPr>
          <w:rFonts w:ascii="黑体" w:hAnsi="黑体" w:eastAsia="黑体"/>
          <w:b/>
          <w:color w:val="23303F"/>
          <w:sz w:val="21"/>
        </w:rPr>
        <w:t>表 2　芭芭农场的三条变现路径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6"/>
        <w:gridCol w:w="3376"/>
        <w:gridCol w:w="3504"/>
      </w:tblGrid>
      <w:tr w14:paraId="7356BA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shd w:val="clear" w:color="auto" w:fill="23303F"/>
          </w:tcPr>
          <w:p w14:paraId="0CFFC0EA">
            <w:r>
              <w:rPr>
                <w:rFonts w:ascii="黑体" w:hAnsi="黑体" w:eastAsia="黑体"/>
                <w:b/>
                <w:color w:val="FFFFFF"/>
                <w:sz w:val="21"/>
              </w:rPr>
              <w:t>变现路径</w:t>
            </w:r>
          </w:p>
        </w:tc>
        <w:tc>
          <w:tcPr>
            <w:tcW w:w="3515" w:type="dxa"/>
            <w:shd w:val="clear" w:color="auto" w:fill="23303F"/>
          </w:tcPr>
          <w:p w14:paraId="0B8E6A82">
            <w:r>
              <w:rPr>
                <w:rFonts w:ascii="黑体" w:hAnsi="黑体" w:eastAsia="黑体"/>
                <w:b/>
                <w:color w:val="FFFFFF"/>
                <w:sz w:val="21"/>
              </w:rPr>
              <w:t>机制</w:t>
            </w:r>
          </w:p>
        </w:tc>
        <w:tc>
          <w:tcPr>
            <w:tcW w:w="3628" w:type="dxa"/>
            <w:shd w:val="clear" w:color="auto" w:fill="23303F"/>
          </w:tcPr>
          <w:p w14:paraId="1FB9D200">
            <w:r>
              <w:rPr>
                <w:rFonts w:ascii="黑体" w:hAnsi="黑体" w:eastAsia="黑体"/>
                <w:b/>
                <w:color w:val="FFFFFF"/>
                <w:sz w:val="21"/>
              </w:rPr>
              <w:t>规模与归因</w:t>
            </w:r>
          </w:p>
        </w:tc>
      </w:tr>
      <w:tr w14:paraId="5A461A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56449575">
            <w:r>
              <w:rPr>
                <w:rFonts w:ascii="宋体" w:hAnsi="宋体" w:eastAsia="宋体"/>
                <w:sz w:val="21"/>
              </w:rPr>
              <w:t>导购 GMV 抽佣</w:t>
            </w:r>
          </w:p>
        </w:tc>
        <w:tc>
          <w:tcPr>
            <w:tcW w:w="3515" w:type="dxa"/>
          </w:tcPr>
          <w:p w14:paraId="1FF78700">
            <w:r>
              <w:rPr>
                <w:rFonts w:ascii="宋体" w:hAnsi="宋体" w:eastAsia="宋体"/>
                <w:sz w:val="21"/>
              </w:rPr>
              <w:t>用户为攒肥料浏览商品→在淘宝/天猫下单→平台抽佣</w:t>
            </w:r>
          </w:p>
        </w:tc>
        <w:tc>
          <w:tcPr>
            <w:tcW w:w="3628" w:type="dxa"/>
          </w:tcPr>
          <w:p w14:paraId="7E4B54F3">
            <w:r>
              <w:rPr>
                <w:rFonts w:ascii="宋体" w:hAnsi="宋体" w:eastAsia="宋体"/>
                <w:sz w:val="21"/>
              </w:rPr>
              <w:t>主导价值，但转化外溢在别处成交，难精确归因</w:t>
            </w:r>
          </w:p>
        </w:tc>
      </w:tr>
      <w:tr w14:paraId="7EE667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7FF9735F">
            <w:r>
              <w:rPr>
                <w:rFonts w:ascii="宋体" w:hAnsi="宋体" w:eastAsia="宋体"/>
                <w:sz w:val="21"/>
              </w:rPr>
              <w:t>券核销增量 GMV</w:t>
            </w:r>
          </w:p>
        </w:tc>
        <w:tc>
          <w:tcPr>
            <w:tcW w:w="3515" w:type="dxa"/>
          </w:tcPr>
          <w:p w14:paraId="1139D5E3">
            <w:r>
              <w:rPr>
                <w:rFonts w:ascii="宋体" w:hAnsi="宋体" w:eastAsia="宋体"/>
                <w:sz w:val="21"/>
              </w:rPr>
              <w:t>券/红包核销带来直接成交</w:t>
            </w:r>
          </w:p>
        </w:tc>
        <w:tc>
          <w:tcPr>
            <w:tcW w:w="3628" w:type="dxa"/>
          </w:tcPr>
          <w:p w14:paraId="787BD043">
            <w:r>
              <w:rPr>
                <w:rFonts w:ascii="宋体" w:hAnsi="宋体" w:eastAsia="宋体"/>
                <w:sz w:val="21"/>
              </w:rPr>
              <w:t>模块内可见，但需 holdout 测增量</w:t>
            </w:r>
          </w:p>
        </w:tc>
      </w:tr>
      <w:tr w14:paraId="1F23F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123CC590">
            <w:r>
              <w:rPr>
                <w:rFonts w:ascii="宋体" w:hAnsi="宋体" w:eastAsia="宋体"/>
                <w:sz w:val="21"/>
              </w:rPr>
              <w:t>留存/DAU 的平台级估值</w:t>
            </w:r>
          </w:p>
        </w:tc>
        <w:tc>
          <w:tcPr>
            <w:tcW w:w="3515" w:type="dxa"/>
          </w:tcPr>
          <w:p w14:paraId="45D986D6">
            <w:r>
              <w:rPr>
                <w:rFonts w:ascii="宋体" w:hAnsi="宋体" w:eastAsia="宋体"/>
                <w:sz w:val="21"/>
              </w:rPr>
              <w:t>高频 DAU 抬升平台企业价值</w:t>
            </w:r>
          </w:p>
        </w:tc>
        <w:tc>
          <w:tcPr>
            <w:tcW w:w="3628" w:type="dxa"/>
          </w:tcPr>
          <w:p w14:paraId="34D2879E">
            <w:r>
              <w:rPr>
                <w:rFonts w:ascii="宋体" w:hAnsi="宋体" w:eastAsia="宋体"/>
                <w:sz w:val="21"/>
              </w:rPr>
              <w:t>金融视角的隐含收益，远超券成本</w:t>
            </w:r>
          </w:p>
        </w:tc>
      </w:tr>
    </w:tbl>
    <w:p w14:paraId="71F7FFC7">
      <w:pPr>
        <w:spacing w:before="0" w:after="120"/>
        <w:ind w:firstLine="440"/>
      </w:pPr>
      <w:r>
        <w:rPr>
          <w:rFonts w:ascii="宋体" w:hAnsi="宋体" w:eastAsia="宋体"/>
          <w:b w:val="0"/>
          <w:sz w:val="22"/>
        </w:rPr>
        <w:t>关键认知：模块内变现只是冰山一角。真正规模化的价值，是用户在攒肥料过程中被植入的购买倾向——这笔账大多外溢在别处成交，不记在农场头上。行研评估时必须承认这种“外溢性”，否则会系统性低估模块价值，也会误判其健康度。</w:t>
      </w:r>
    </w:p>
    <w:p w14:paraId="5B3CCEDD">
      <w:pPr>
        <w:pStyle w:val="3"/>
        <w:keepNext/>
        <w:spacing w:before="360" w:after="160"/>
      </w:pPr>
      <w:bookmarkStart w:id="6" w:name="_Toc20742"/>
      <w:r>
        <w:rPr>
          <w:rFonts w:ascii="黑体" w:hAnsi="黑体" w:eastAsia="黑体"/>
          <w:b/>
          <w:color w:val="1F2329"/>
          <w:sz w:val="30"/>
        </w:rPr>
        <w:t>五、竞争格局：错位竞争而非直接替代</w:t>
      </w:r>
      <w:bookmarkEnd w:id="6"/>
    </w:p>
    <w:p w14:paraId="736F6330">
      <w:pPr>
        <w:spacing w:before="0" w:after="120"/>
        <w:ind w:firstLine="440"/>
      </w:pPr>
      <w:r>
        <w:rPr>
          <w:rFonts w:ascii="宋体" w:hAnsi="宋体" w:eastAsia="宋体"/>
          <w:b w:val="0"/>
          <w:sz w:val="22"/>
        </w:rPr>
        <w:t>把芭芭农场放进竞争格局看，各家的留存与转化打法差异显著（见下表）。</w:t>
      </w:r>
    </w:p>
    <w:p w14:paraId="68AC250E">
      <w:pPr>
        <w:spacing w:before="160" w:after="60"/>
        <w:jc w:val="center"/>
      </w:pPr>
      <w:r>
        <w:rPr>
          <w:rFonts w:ascii="黑体" w:hAnsi="黑体" w:eastAsia="黑体"/>
          <w:b/>
          <w:color w:val="23303F"/>
          <w:sz w:val="21"/>
        </w:rPr>
        <w:t>表 3　主流平台游戏化用户运营对比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7"/>
        <w:gridCol w:w="1643"/>
        <w:gridCol w:w="2302"/>
        <w:gridCol w:w="3484"/>
      </w:tblGrid>
      <w:tr w14:paraId="707EDC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shd w:val="clear" w:color="auto" w:fill="23303F"/>
          </w:tcPr>
          <w:p w14:paraId="74F420D4">
            <w:r>
              <w:rPr>
                <w:rFonts w:ascii="黑体" w:hAnsi="黑体" w:eastAsia="黑体"/>
                <w:b/>
                <w:color w:val="FFFFFF"/>
                <w:sz w:val="21"/>
              </w:rPr>
              <w:t>平台</w:t>
            </w:r>
          </w:p>
        </w:tc>
        <w:tc>
          <w:tcPr>
            <w:tcW w:w="1701" w:type="dxa"/>
            <w:shd w:val="clear" w:color="auto" w:fill="23303F"/>
          </w:tcPr>
          <w:p w14:paraId="3F191ED9">
            <w:r>
              <w:rPr>
                <w:rFonts w:ascii="黑体" w:hAnsi="黑体" w:eastAsia="黑体"/>
                <w:b/>
                <w:color w:val="FFFFFF"/>
                <w:sz w:val="21"/>
              </w:rPr>
              <w:t>代表玩法</w:t>
            </w:r>
          </w:p>
        </w:tc>
        <w:tc>
          <w:tcPr>
            <w:tcW w:w="2381" w:type="dxa"/>
            <w:shd w:val="clear" w:color="auto" w:fill="23303F"/>
          </w:tcPr>
          <w:p w14:paraId="7CBCFFCE">
            <w:r>
              <w:rPr>
                <w:rFonts w:ascii="黑体" w:hAnsi="黑体" w:eastAsia="黑体"/>
                <w:b/>
                <w:color w:val="FFFFFF"/>
                <w:sz w:val="21"/>
              </w:rPr>
              <w:t>留存/转化重心</w:t>
            </w:r>
          </w:p>
        </w:tc>
        <w:tc>
          <w:tcPr>
            <w:tcW w:w="3628" w:type="dxa"/>
            <w:shd w:val="clear" w:color="auto" w:fill="23303F"/>
          </w:tcPr>
          <w:p w14:paraId="07513DB0">
            <w:r>
              <w:rPr>
                <w:rFonts w:ascii="黑体" w:hAnsi="黑体" w:eastAsia="黑体"/>
                <w:b/>
                <w:color w:val="FFFFFF"/>
                <w:sz w:val="21"/>
              </w:rPr>
              <w:t>路径差异</w:t>
            </w:r>
          </w:p>
        </w:tc>
      </w:tr>
      <w:tr w14:paraId="33C575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</w:tcPr>
          <w:p w14:paraId="6994237E">
            <w:r>
              <w:rPr>
                <w:rFonts w:ascii="宋体" w:hAnsi="宋体" w:eastAsia="宋体"/>
                <w:sz w:val="21"/>
              </w:rPr>
              <w:t>阿里/蚂蚁</w:t>
            </w:r>
          </w:p>
        </w:tc>
        <w:tc>
          <w:tcPr>
            <w:tcW w:w="1701" w:type="dxa"/>
          </w:tcPr>
          <w:p w14:paraId="4C5385EA">
            <w:r>
              <w:rPr>
                <w:rFonts w:ascii="宋体" w:hAnsi="宋体" w:eastAsia="宋体"/>
                <w:sz w:val="21"/>
              </w:rPr>
              <w:t>芭芭农场</w:t>
            </w:r>
          </w:p>
        </w:tc>
        <w:tc>
          <w:tcPr>
            <w:tcW w:w="2381" w:type="dxa"/>
          </w:tcPr>
          <w:p w14:paraId="6C0BAD5C">
            <w:r>
              <w:rPr>
                <w:rFonts w:ascii="宋体" w:hAnsi="宋体" w:eastAsia="宋体"/>
                <w:sz w:val="21"/>
              </w:rPr>
              <w:t>存量变现（时长+导购转化）</w:t>
            </w:r>
          </w:p>
        </w:tc>
        <w:tc>
          <w:tcPr>
            <w:tcW w:w="3628" w:type="dxa"/>
          </w:tcPr>
          <w:p w14:paraId="7CF7B5CE">
            <w:r>
              <w:rPr>
                <w:rFonts w:ascii="宋体" w:hAnsi="宋体" w:eastAsia="宋体"/>
                <w:sz w:val="21"/>
              </w:rPr>
              <w:t>靠生态协同与确定性激励</w:t>
            </w:r>
          </w:p>
        </w:tc>
      </w:tr>
      <w:tr w14:paraId="4B8E7E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</w:tcPr>
          <w:p w14:paraId="7725EDA0">
            <w:r>
              <w:rPr>
                <w:rFonts w:ascii="宋体" w:hAnsi="宋体" w:eastAsia="宋体"/>
                <w:sz w:val="21"/>
              </w:rPr>
              <w:t>拼多多</w:t>
            </w:r>
          </w:p>
        </w:tc>
        <w:tc>
          <w:tcPr>
            <w:tcW w:w="1701" w:type="dxa"/>
          </w:tcPr>
          <w:p w14:paraId="542B23AE">
            <w:r>
              <w:rPr>
                <w:rFonts w:ascii="宋体" w:hAnsi="宋体" w:eastAsia="宋体"/>
                <w:sz w:val="21"/>
              </w:rPr>
              <w:t>多多果园</w:t>
            </w:r>
          </w:p>
        </w:tc>
        <w:tc>
          <w:tcPr>
            <w:tcW w:w="2381" w:type="dxa"/>
          </w:tcPr>
          <w:p w14:paraId="0F019A66">
            <w:r>
              <w:rPr>
                <w:rFonts w:ascii="宋体" w:hAnsi="宋体" w:eastAsia="宋体"/>
                <w:sz w:val="21"/>
              </w:rPr>
              <w:t>增量获取（社交裂变拉新）</w:t>
            </w:r>
          </w:p>
        </w:tc>
        <w:tc>
          <w:tcPr>
            <w:tcW w:w="3628" w:type="dxa"/>
          </w:tcPr>
          <w:p w14:paraId="0F79F74B">
            <w:r>
              <w:rPr>
                <w:rFonts w:ascii="宋体" w:hAnsi="宋体" w:eastAsia="宋体"/>
                <w:sz w:val="21"/>
              </w:rPr>
              <w:t>靠社交关系链低成本拉新</w:t>
            </w:r>
          </w:p>
        </w:tc>
      </w:tr>
      <w:tr w14:paraId="03798C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</w:tcPr>
          <w:p w14:paraId="78D61719">
            <w:r>
              <w:rPr>
                <w:rFonts w:ascii="宋体" w:hAnsi="宋体" w:eastAsia="宋体"/>
                <w:sz w:val="21"/>
              </w:rPr>
              <w:t>美团</w:t>
            </w:r>
          </w:p>
        </w:tc>
        <w:tc>
          <w:tcPr>
            <w:tcW w:w="1701" w:type="dxa"/>
          </w:tcPr>
          <w:p w14:paraId="3EA76498">
            <w:r>
              <w:rPr>
                <w:rFonts w:ascii="宋体" w:hAnsi="宋体" w:eastAsia="宋体"/>
                <w:sz w:val="21"/>
              </w:rPr>
              <w:t>会员/游戏化</w:t>
            </w:r>
          </w:p>
        </w:tc>
        <w:tc>
          <w:tcPr>
            <w:tcW w:w="2381" w:type="dxa"/>
          </w:tcPr>
          <w:p w14:paraId="01A3E9EE">
            <w:r>
              <w:rPr>
                <w:rFonts w:ascii="宋体" w:hAnsi="宋体" w:eastAsia="宋体"/>
                <w:sz w:val="21"/>
              </w:rPr>
              <w:t>本地生活高频复购</w:t>
            </w:r>
          </w:p>
        </w:tc>
        <w:tc>
          <w:tcPr>
            <w:tcW w:w="3628" w:type="dxa"/>
          </w:tcPr>
          <w:p w14:paraId="2292202A">
            <w:r>
              <w:rPr>
                <w:rFonts w:ascii="宋体" w:hAnsi="宋体" w:eastAsia="宋体"/>
                <w:sz w:val="21"/>
              </w:rPr>
              <w:t>靠到店到家场景高频</w:t>
            </w:r>
          </w:p>
        </w:tc>
      </w:tr>
      <w:tr w14:paraId="6DAB39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</w:tcPr>
          <w:p w14:paraId="29B945F2">
            <w:r>
              <w:rPr>
                <w:rFonts w:ascii="宋体" w:hAnsi="宋体" w:eastAsia="宋体"/>
                <w:sz w:val="21"/>
              </w:rPr>
              <w:t>抖音</w:t>
            </w:r>
          </w:p>
        </w:tc>
        <w:tc>
          <w:tcPr>
            <w:tcW w:w="1701" w:type="dxa"/>
          </w:tcPr>
          <w:p w14:paraId="2D777D49">
            <w:r>
              <w:rPr>
                <w:rFonts w:ascii="宋体" w:hAnsi="宋体" w:eastAsia="宋体"/>
                <w:sz w:val="21"/>
              </w:rPr>
              <w:t>内容/直播</w:t>
            </w:r>
          </w:p>
        </w:tc>
        <w:tc>
          <w:tcPr>
            <w:tcW w:w="2381" w:type="dxa"/>
          </w:tcPr>
          <w:p w14:paraId="19D09BAC">
            <w:r>
              <w:rPr>
                <w:rFonts w:ascii="宋体" w:hAnsi="宋体" w:eastAsia="宋体"/>
                <w:sz w:val="21"/>
              </w:rPr>
              <w:t>时长与内容转化</w:t>
            </w:r>
          </w:p>
        </w:tc>
        <w:tc>
          <w:tcPr>
            <w:tcW w:w="3628" w:type="dxa"/>
          </w:tcPr>
          <w:p w14:paraId="07B7B681">
            <w:r>
              <w:rPr>
                <w:rFonts w:ascii="宋体" w:hAnsi="宋体" w:eastAsia="宋体"/>
                <w:sz w:val="21"/>
              </w:rPr>
              <w:t>靠内容占据碎片化时间</w:t>
            </w:r>
          </w:p>
        </w:tc>
      </w:tr>
    </w:tbl>
    <w:p w14:paraId="5F1ACCEB">
      <w:pPr>
        <w:spacing w:before="0" w:after="120"/>
        <w:ind w:firstLine="440"/>
      </w:pPr>
      <w:r>
        <w:rPr>
          <w:rFonts w:ascii="宋体" w:hAnsi="宋体" w:eastAsia="宋体"/>
          <w:b w:val="0"/>
          <w:sz w:val="22"/>
        </w:rPr>
        <w:t>核心判断是错位竞争：阿里靠生态存量效率，拼多多靠社交裂变换拉新，美团靠本地生活高频，抖音靠内容时长。芭芭农场选择“确定性激励下的注意力—转化交易”，符合支付宝缺乏强社交关系链的基因——这不是策略高下之分，是基因决定的路径选择。把不同路径放在同一张 ROI 表里比，是行研常见的方法论错误。</w:t>
      </w:r>
    </w:p>
    <w:p w14:paraId="14113496">
      <w:pPr>
        <w:spacing w:before="0" w:after="120"/>
        <w:ind w:firstLine="440"/>
      </w:pPr>
      <w:r>
        <w:rPr>
          <w:rFonts w:ascii="宋体" w:hAnsi="宋体" w:eastAsia="宋体"/>
          <w:b w:val="0"/>
          <w:sz w:val="22"/>
        </w:rPr>
        <w:t>但错位格局并非静止不变，动态推演更值得警惕。拼多多若用户增速见顶，不排除在多多果园里增加“确定性激励”（如浏览商品确定性得大额券）以提升单用户时长——这将直接侵蚀芭芭农场的留存效率。但确定性激励与拼多多“低价+社交”的基因有张力：提高确定性奖励意味着推高补贴成本，可能反噬其本就紧张的供应链毛利。抖音若加强游戏化留存，优势在内容时长（用户本来就在刷），劣势在电商转化链路不如阿里深，需额外补建“看视频→领奖励→下单”的基础设施。所以芭芭农场最该警惕的不是竞品做出同样的玩法，而是竞品用自身的成本结构优势在局部打价格战——比如抖音用广告库存补贴替代水果补贴，用更低的边际成本争夺同一批用户的碎片化时间。这才是动态博弈里真正的威胁。</w:t>
      </w:r>
    </w:p>
    <w:p w14:paraId="626CC5EC">
      <w:pPr>
        <w:pStyle w:val="3"/>
        <w:keepNext/>
        <w:spacing w:before="360" w:after="160"/>
      </w:pPr>
      <w:bookmarkStart w:id="7" w:name="_Toc32467"/>
      <w:r>
        <w:rPr>
          <w:rFonts w:ascii="黑体" w:hAnsi="黑体" w:eastAsia="黑体"/>
          <w:b/>
          <w:color w:val="1F2329"/>
          <w:sz w:val="30"/>
        </w:rPr>
        <w:t>六、护城河与可复制性</w:t>
      </w:r>
      <w:bookmarkEnd w:id="7"/>
    </w:p>
    <w:p w14:paraId="51BFBAD3">
      <w:pPr>
        <w:spacing w:before="0" w:after="120"/>
        <w:ind w:firstLine="440"/>
      </w:pPr>
      <w:r>
        <w:rPr>
          <w:rFonts w:ascii="宋体" w:hAnsi="宋体" w:eastAsia="宋体"/>
          <w:b w:val="0"/>
          <w:sz w:val="22"/>
        </w:rPr>
        <w:t>护城河不在“玩法”，在“生态结构”。芭芭农场的壁垒由三部分构成：跨 APP 注意力归集的生态协同、支付高频底座的导流能力、以及长期积累的用户行为标签。玩法可以被抄走，结构抄不走——这是判断护城河深浅的关键。</w:t>
      </w:r>
    </w:p>
    <w:p w14:paraId="0A7E99A8">
      <w:pPr>
        <w:spacing w:before="0" w:after="120"/>
        <w:ind w:firstLine="440"/>
      </w:pPr>
      <w:r>
        <w:rPr>
          <w:rFonts w:ascii="宋体" w:hAnsi="宋体" w:eastAsia="宋体"/>
          <w:b w:val="0"/>
          <w:sz w:val="22"/>
        </w:rPr>
        <w:t>可复制性要分对象看。单功能 App 难复制（缺生态底座与跨场景注意力来源）；拼多多已有类似形态（多多果园）但路径不同，不构成直接替代；美团、抖音可部分借鉴游戏化留存，但其场景（本地生活/内容）与阿里电商导购的变现链路不同，复制的是手法，不是生意。结论：护城河来自生态结构，可复制性有限，但并非零。</w:t>
      </w:r>
    </w:p>
    <w:p w14:paraId="7B79E9B7">
      <w:pPr>
        <w:spacing w:before="0" w:after="120"/>
        <w:ind w:firstLine="440"/>
      </w:pPr>
      <w:r>
        <w:rPr>
          <w:rFonts w:ascii="宋体" w:hAnsi="宋体" w:eastAsia="宋体"/>
          <w:b w:val="0"/>
          <w:sz w:val="22"/>
        </w:rPr>
        <w:t>护城河的严格测试，是“换一个主体能否复现”。微信是最该拿来试的对手：它有支付底座、小程序生态、还有游戏化能力（微信农场早已有之），理论上具备复制的硬条件。但它缺两样东西。一是阿里系的电商导购变现链路——“浏览商品→淘宝下单→平台抽佣”这条链路，微信无法直接复刻（京东、拼多多小程序虽在微信内，但抽佣归属与阿里不同，微信拿不到同等变现效率）。二是下沉市场“用支付宝付完钱顺手去农场浇水”的路径依赖——这个习惯一旦养成，切换成本极高，微信要从零重建同等频次的打开动机，代价不低。结论：微信可以复制“玩法”，但无法在同样成本结构下复制“变现效率”。故护城河判断维持，但要持续追踪微信电商基建的推进速度——这是护城河被侵蚀的最可能路径。</w:t>
      </w:r>
    </w:p>
    <w:p w14:paraId="4DB597C6">
      <w:pPr>
        <w:pStyle w:val="3"/>
        <w:keepNext/>
        <w:spacing w:before="360" w:after="160"/>
      </w:pPr>
      <w:bookmarkStart w:id="8" w:name="_Toc9004"/>
      <w:r>
        <w:rPr>
          <w:rFonts w:ascii="黑体" w:hAnsi="黑体" w:eastAsia="黑体"/>
          <w:b/>
          <w:color w:val="1F2329"/>
          <w:sz w:val="30"/>
        </w:rPr>
        <w:t>七、变现效率与单位经济（行研视角）</w:t>
      </w:r>
      <w:bookmarkEnd w:id="8"/>
    </w:p>
    <w:p w14:paraId="7A6312FC">
      <w:pPr>
        <w:pStyle w:val="4"/>
        <w:keepNext/>
        <w:spacing w:before="240" w:after="80"/>
      </w:pPr>
      <w:bookmarkStart w:id="9" w:name="_Toc32212"/>
      <w:r>
        <w:rPr>
          <w:rFonts w:ascii="黑体" w:hAnsi="黑体" w:eastAsia="黑体"/>
          <w:b/>
          <w:color w:val="23303F"/>
          <w:sz w:val="25"/>
        </w:rPr>
        <w:t>7.1 单券单位经济</w:t>
      </w:r>
      <w:bookmarkEnd w:id="9"/>
    </w:p>
    <w:p w14:paraId="438B21EE">
      <w:pPr>
        <w:spacing w:before="0" w:after="120"/>
        <w:ind w:firstLine="440"/>
      </w:pPr>
      <w:r>
        <w:rPr>
          <w:rFonts w:ascii="宋体" w:hAnsi="宋体" w:eastAsia="宋体"/>
          <w:b w:val="0"/>
          <w:sz w:val="22"/>
        </w:rPr>
        <w:t>对走得到商品轨的少数转化型用户，单券视角算账：设 A=月均券面额（元，示意 2）；k=券核销率（20%–40%）；G=核销后平均带动 GMV（元/单，示意 30–50）；m=平台抽佣/等效变现率（15%–20%）。</w:t>
      </w:r>
    </w:p>
    <w:p w14:paraId="690BCF0C">
      <w:pPr>
        <w:spacing w:after="120"/>
        <w:ind w:firstLine="440"/>
      </w:pPr>
      <w:r>
        <w:rPr>
          <w:rFonts w:ascii="宋体" w:hAnsi="宋体" w:eastAsia="宋体"/>
          <w:b/>
          <w:color w:val="0A6CFF"/>
          <w:sz w:val="22"/>
        </w:rPr>
        <w:t>单券净收益 = k·( G·m − A )    盈亏平衡： G·m ≥ A  ⟹  G ≥ A / m</w:t>
      </w:r>
    </w:p>
    <w:p w14:paraId="715BC4F5">
      <w:pPr>
        <w:spacing w:before="0" w:after="120"/>
        <w:ind w:firstLine="440"/>
      </w:pPr>
      <w:r>
        <w:rPr>
          <w:rFonts w:ascii="宋体" w:hAnsi="宋体" w:eastAsia="宋体"/>
          <w:b w:val="0"/>
          <w:sz w:val="22"/>
        </w:rPr>
        <w:t>代入 A=2、m=0.15：盈亏平衡仅需 G ≥ 13.3 元（每核销单带动 GMV 超 13 元即盈利，门槛宽松）。取 G=40：G·m=6，k=25% 时单用户月净收益约 1.0 元，方向性为正。但 G 含归因折扣——核销带来的 GMV 有多少是“本就会买”的订单，需 holdout 实验校准。行研判断里，G 应理解为“含归因折扣”的参数。</w:t>
      </w:r>
    </w:p>
    <w:p w14:paraId="22ACD2A2">
      <w:pPr>
        <w:pStyle w:val="4"/>
        <w:keepNext/>
        <w:spacing w:before="240" w:after="80"/>
      </w:pPr>
      <w:bookmarkStart w:id="10" w:name="_Toc25589"/>
      <w:r>
        <w:rPr>
          <w:rFonts w:ascii="黑体" w:hAnsi="黑体" w:eastAsia="黑体"/>
          <w:b/>
          <w:color w:val="23303F"/>
          <w:sz w:val="25"/>
        </w:rPr>
        <w:t>7.2 分群变现效率</w:t>
      </w:r>
      <w:bookmarkEnd w:id="10"/>
    </w:p>
    <w:p w14:paraId="43BCF852">
      <w:pPr>
        <w:spacing w:before="160" w:after="60"/>
        <w:jc w:val="center"/>
      </w:pPr>
      <w:r>
        <w:rPr>
          <w:rFonts w:ascii="黑体" w:hAnsi="黑体" w:eastAsia="黑体"/>
          <w:b/>
          <w:color w:val="23303F"/>
          <w:sz w:val="21"/>
        </w:rPr>
        <w:t>表 4　分群变现效率对比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69"/>
        <w:gridCol w:w="2615"/>
        <w:gridCol w:w="1754"/>
        <w:gridCol w:w="2518"/>
      </w:tblGrid>
      <w:tr w14:paraId="41DC16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shd w:val="clear" w:color="auto" w:fill="23303F"/>
          </w:tcPr>
          <w:p w14:paraId="0D3C25F9">
            <w:r>
              <w:rPr>
                <w:rFonts w:ascii="黑体" w:hAnsi="黑体" w:eastAsia="黑体"/>
                <w:b/>
                <w:color w:val="FFFFFF"/>
                <w:sz w:val="21"/>
              </w:rPr>
              <w:t>人群</w:t>
            </w:r>
          </w:p>
        </w:tc>
        <w:tc>
          <w:tcPr>
            <w:tcW w:w="2721" w:type="dxa"/>
            <w:shd w:val="clear" w:color="auto" w:fill="23303F"/>
          </w:tcPr>
          <w:p w14:paraId="1B9A7CBC">
            <w:r>
              <w:rPr>
                <w:rFonts w:ascii="黑体" w:hAnsi="黑体" w:eastAsia="黑体"/>
                <w:b/>
                <w:color w:val="FFFFFF"/>
                <w:sz w:val="21"/>
              </w:rPr>
              <w:t>价值来源</w:t>
            </w:r>
          </w:p>
        </w:tc>
        <w:tc>
          <w:tcPr>
            <w:tcW w:w="1814" w:type="dxa"/>
            <w:shd w:val="clear" w:color="auto" w:fill="23303F"/>
          </w:tcPr>
          <w:p w14:paraId="4B3A4D26">
            <w:r>
              <w:rPr>
                <w:rFonts w:ascii="黑体" w:hAnsi="黑体" w:eastAsia="黑体"/>
                <w:b/>
                <w:color w:val="FFFFFF"/>
                <w:sz w:val="21"/>
              </w:rPr>
              <w:t>成本</w:t>
            </w:r>
          </w:p>
        </w:tc>
        <w:tc>
          <w:tcPr>
            <w:tcW w:w="2608" w:type="dxa"/>
            <w:shd w:val="clear" w:color="auto" w:fill="23303F"/>
          </w:tcPr>
          <w:p w14:paraId="3143F71A">
            <w:r>
              <w:rPr>
                <w:rFonts w:ascii="黑体" w:hAnsi="黑体" w:eastAsia="黑体"/>
                <w:b/>
                <w:color w:val="FFFFFF"/>
                <w:sz w:val="21"/>
              </w:rPr>
              <w:t>变现效率判断</w:t>
            </w:r>
          </w:p>
        </w:tc>
      </w:tr>
      <w:tr w14:paraId="37AB27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7D07857F">
            <w:r>
              <w:rPr>
                <w:rFonts w:ascii="宋体" w:hAnsi="宋体" w:eastAsia="宋体"/>
                <w:sz w:val="21"/>
              </w:rPr>
              <w:t>留存型（多数，走水果轨）</w:t>
            </w:r>
          </w:p>
        </w:tc>
        <w:tc>
          <w:tcPr>
            <w:tcW w:w="2721" w:type="dxa"/>
          </w:tcPr>
          <w:p w14:paraId="1EB71864">
            <w:r>
              <w:rPr>
                <w:rFonts w:ascii="宋体" w:hAnsi="宋体" w:eastAsia="宋体"/>
                <w:sz w:val="21"/>
              </w:rPr>
              <w:t>广告曝光（浏览任务）+ 留存估值 + 助农叙事</w:t>
            </w:r>
          </w:p>
        </w:tc>
        <w:tc>
          <w:tcPr>
            <w:tcW w:w="1814" w:type="dxa"/>
          </w:tcPr>
          <w:p w14:paraId="3CF5F324">
            <w:r>
              <w:rPr>
                <w:rFonts w:ascii="宋体" w:hAnsi="宋体" w:eastAsia="宋体"/>
                <w:sz w:val="21"/>
              </w:rPr>
              <w:t>水果履约（约 5 元/箱）</w:t>
            </w:r>
          </w:p>
        </w:tc>
        <w:tc>
          <w:tcPr>
            <w:tcW w:w="2608" w:type="dxa"/>
          </w:tcPr>
          <w:p w14:paraId="7CDC0BE8">
            <w:r>
              <w:rPr>
                <w:rFonts w:ascii="宋体" w:hAnsi="宋体" w:eastAsia="宋体"/>
                <w:sz w:val="21"/>
              </w:rPr>
              <w:t>靠广告间接变现；广告价值需 ≥ 水果摊销成本</w:t>
            </w:r>
          </w:p>
        </w:tc>
      </w:tr>
      <w:tr w14:paraId="75BAB4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59D56D38">
            <w:r>
              <w:rPr>
                <w:rFonts w:ascii="宋体" w:hAnsi="宋体" w:eastAsia="宋体"/>
                <w:sz w:val="21"/>
              </w:rPr>
              <w:t>转化型（少数，走商品轨）</w:t>
            </w:r>
          </w:p>
        </w:tc>
        <w:tc>
          <w:tcPr>
            <w:tcW w:w="2721" w:type="dxa"/>
          </w:tcPr>
          <w:p w14:paraId="2AA5BB23">
            <w:r>
              <w:rPr>
                <w:rFonts w:ascii="宋体" w:hAnsi="宋体" w:eastAsia="宋体"/>
                <w:sz w:val="21"/>
              </w:rPr>
              <w:t>券核销带来的增量 GMV × 抽佣</w:t>
            </w:r>
          </w:p>
        </w:tc>
        <w:tc>
          <w:tcPr>
            <w:tcW w:w="1814" w:type="dxa"/>
          </w:tcPr>
          <w:p w14:paraId="2D7147D8">
            <w:r>
              <w:rPr>
                <w:rFonts w:ascii="宋体" w:hAnsi="宋体" w:eastAsia="宋体"/>
                <w:sz w:val="21"/>
              </w:rPr>
              <w:t>券面额（账面折扣）</w:t>
            </w:r>
          </w:p>
        </w:tc>
        <w:tc>
          <w:tcPr>
            <w:tcW w:w="2608" w:type="dxa"/>
          </w:tcPr>
          <w:p w14:paraId="3138AE6D">
            <w:r>
              <w:rPr>
                <w:rFonts w:ascii="宋体" w:hAnsi="宋体" w:eastAsia="宋体"/>
                <w:sz w:val="21"/>
              </w:rPr>
              <w:t>直接变现；G·m &gt; A 即盈利，券成本远低于水果</w:t>
            </w:r>
          </w:p>
        </w:tc>
      </w:tr>
    </w:tbl>
    <w:p w14:paraId="1FDD3761">
      <w:pPr>
        <w:pStyle w:val="4"/>
        <w:keepNext/>
        <w:spacing w:before="240" w:after="80"/>
      </w:pPr>
      <w:bookmarkStart w:id="11" w:name="_Toc10160"/>
      <w:r>
        <w:rPr>
          <w:rFonts w:ascii="黑体" w:hAnsi="黑体" w:eastAsia="黑体"/>
          <w:b/>
          <w:color w:val="23303F"/>
          <w:sz w:val="25"/>
        </w:rPr>
        <w:t>7.3 资源效率：集团视角的硬约束</w:t>
      </w:r>
      <w:bookmarkEnd w:id="11"/>
    </w:p>
    <w:p w14:paraId="4E00E806">
      <w:pPr>
        <w:spacing w:before="0" w:after="120"/>
        <w:ind w:firstLine="440"/>
      </w:pPr>
      <w:r>
        <w:rPr>
          <w:rFonts w:ascii="宋体" w:hAnsi="宋体" w:eastAsia="宋体"/>
          <w:b w:val="0"/>
          <w:sz w:val="22"/>
        </w:rPr>
        <w:t>单位经济只算“模块自己赚不赚”，漏了最贵的一项——流量机会成本。芭芭农场占着首页入口、Banner、Push 通道，这些坑位若替换为直通车广告或“天猫超级品牌日”，同样产生 GMV 且不用付水果。引入 RPM（单位流量价值）对标：设占用资源位日均曝光 X、替换为直通车 RPM 为 Y，则模块隐形底线是总商业价值 ≥ X·Y/1000。低于此线，即便模块内部微利，从集团资源配置看仍是战略性亏损。本报告所有“盈利”判断，都加一句前提：在资源位机会成本低于当前 RPM 的前提下成立。</w:t>
      </w:r>
    </w:p>
    <w:p w14:paraId="241D2C5F">
      <w:pPr>
        <w:pStyle w:val="3"/>
        <w:keepNext/>
        <w:spacing w:before="360" w:after="160"/>
      </w:pPr>
      <w:bookmarkStart w:id="12" w:name="_Toc12503"/>
      <w:r>
        <w:rPr>
          <w:rFonts w:ascii="黑体" w:hAnsi="黑体" w:eastAsia="黑体"/>
          <w:b/>
          <w:color w:val="1F2329"/>
          <w:sz w:val="30"/>
        </w:rPr>
        <w:t>八、演化路径与情景分析</w:t>
      </w:r>
      <w:bookmarkEnd w:id="12"/>
    </w:p>
    <w:p w14:paraId="6BA366FC">
      <w:pPr>
        <w:spacing w:before="0" w:after="120"/>
        <w:ind w:firstLine="440"/>
      </w:pPr>
      <w:r>
        <w:rPr>
          <w:rFonts w:ascii="宋体" w:hAnsi="宋体" w:eastAsia="宋体"/>
          <w:b w:val="0"/>
          <w:sz w:val="22"/>
        </w:rPr>
        <w:t>行业是演化的，不能用静态切片下判断。芭芭农场的演化阀门是“商品兑换门槛”——它调节留存与转化的配比。按门槛调节方向与外部环境，给出三情景（见下表）。</w:t>
      </w:r>
    </w:p>
    <w:p w14:paraId="031195CB">
      <w:pPr>
        <w:spacing w:before="160" w:after="60"/>
        <w:jc w:val="center"/>
      </w:pPr>
      <w:r>
        <w:rPr>
          <w:rFonts w:ascii="黑体" w:hAnsi="黑体" w:eastAsia="黑体"/>
          <w:b/>
          <w:color w:val="23303F"/>
          <w:sz w:val="21"/>
        </w:rPr>
        <w:t>表 5　芭芭农场演化情景分析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2"/>
        <w:gridCol w:w="3395"/>
        <w:gridCol w:w="4359"/>
      </w:tblGrid>
      <w:tr w14:paraId="703219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23303F"/>
          </w:tcPr>
          <w:p w14:paraId="38DF0EF5">
            <w:r>
              <w:rPr>
                <w:rFonts w:ascii="黑体" w:hAnsi="黑体" w:eastAsia="黑体"/>
                <w:b/>
                <w:color w:val="FFFFFF"/>
                <w:sz w:val="21"/>
              </w:rPr>
              <w:t>情景</w:t>
            </w:r>
          </w:p>
        </w:tc>
        <w:tc>
          <w:tcPr>
            <w:tcW w:w="3515" w:type="dxa"/>
            <w:shd w:val="clear" w:color="auto" w:fill="23303F"/>
          </w:tcPr>
          <w:p w14:paraId="0DAD4DAE">
            <w:r>
              <w:rPr>
                <w:rFonts w:ascii="黑体" w:hAnsi="黑体" w:eastAsia="黑体"/>
                <w:b/>
                <w:color w:val="FFFFFF"/>
                <w:sz w:val="21"/>
              </w:rPr>
              <w:t>前提</w:t>
            </w:r>
          </w:p>
        </w:tc>
        <w:tc>
          <w:tcPr>
            <w:tcW w:w="4535" w:type="dxa"/>
            <w:shd w:val="clear" w:color="auto" w:fill="23303F"/>
          </w:tcPr>
          <w:p w14:paraId="282D766E">
            <w:r>
              <w:rPr>
                <w:rFonts w:ascii="黑体" w:hAnsi="黑体" w:eastAsia="黑体"/>
                <w:b/>
                <w:color w:val="FFFFFF"/>
                <w:sz w:val="21"/>
              </w:rPr>
              <w:t>对模块价值的影响</w:t>
            </w:r>
          </w:p>
        </w:tc>
      </w:tr>
      <w:tr w14:paraId="71F438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13FC3046">
            <w:r>
              <w:rPr>
                <w:rFonts w:ascii="宋体" w:hAnsi="宋体" w:eastAsia="宋体"/>
                <w:sz w:val="21"/>
              </w:rPr>
              <w:t>基准</w:t>
            </w:r>
          </w:p>
        </w:tc>
        <w:tc>
          <w:tcPr>
            <w:tcW w:w="3515" w:type="dxa"/>
          </w:tcPr>
          <w:p w14:paraId="1D7D492B">
            <w:r>
              <w:rPr>
                <w:rFonts w:ascii="宋体" w:hAnsi="宋体" w:eastAsia="宋体"/>
                <w:sz w:val="21"/>
              </w:rPr>
              <w:t>维持高门槛，留存主导；时间机会成本稳定</w:t>
            </w:r>
          </w:p>
        </w:tc>
        <w:tc>
          <w:tcPr>
            <w:tcW w:w="4535" w:type="dxa"/>
          </w:tcPr>
          <w:p w14:paraId="444C69B9">
            <w:r>
              <w:rPr>
                <w:rFonts w:ascii="宋体" w:hAnsi="宋体" w:eastAsia="宋体"/>
                <w:sz w:val="21"/>
              </w:rPr>
              <w:t>模块作为留存基础设施，价值稳健但增长平缓</w:t>
            </w:r>
          </w:p>
        </w:tc>
      </w:tr>
      <w:tr w14:paraId="002D15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36787A31">
            <w:r>
              <w:rPr>
                <w:rFonts w:ascii="宋体" w:hAnsi="宋体" w:eastAsia="宋体"/>
                <w:sz w:val="21"/>
              </w:rPr>
              <w:t>乐观</w:t>
            </w:r>
          </w:p>
        </w:tc>
        <w:tc>
          <w:tcPr>
            <w:tcW w:w="3515" w:type="dxa"/>
          </w:tcPr>
          <w:p w14:paraId="343C047D">
            <w:r>
              <w:rPr>
                <w:rFonts w:ascii="宋体" w:hAnsi="宋体" w:eastAsia="宋体"/>
                <w:sz w:val="21"/>
              </w:rPr>
              <w:t>降门槛且标签 LTV &gt; 补贴成本；生态协同深化</w:t>
            </w:r>
          </w:p>
        </w:tc>
        <w:tc>
          <w:tcPr>
            <w:tcW w:w="4535" w:type="dxa"/>
          </w:tcPr>
          <w:p w14:paraId="2589EC4B">
            <w:r>
              <w:rPr>
                <w:rFonts w:ascii="宋体" w:hAnsi="宋体" w:eastAsia="宋体"/>
                <w:sz w:val="21"/>
              </w:rPr>
              <w:t>转化为直接变现，模块从“留存资产”升级为“变现资产”</w:t>
            </w:r>
          </w:p>
        </w:tc>
      </w:tr>
      <w:tr w14:paraId="764FD8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43B3772F">
            <w:r>
              <w:rPr>
                <w:rFonts w:ascii="宋体" w:hAnsi="宋体" w:eastAsia="宋体"/>
                <w:sz w:val="21"/>
              </w:rPr>
              <w:t>悲观</w:t>
            </w:r>
          </w:p>
        </w:tc>
        <w:tc>
          <w:tcPr>
            <w:tcW w:w="3515" w:type="dxa"/>
          </w:tcPr>
          <w:p w14:paraId="78E6A866">
            <w:r>
              <w:rPr>
                <w:rFonts w:ascii="宋体" w:hAnsi="宋体" w:eastAsia="宋体"/>
                <w:sz w:val="21"/>
              </w:rPr>
              <w:t>时间机会成本上升（短剧/直播争夺）；监管收紧</w:t>
            </w:r>
          </w:p>
        </w:tc>
        <w:tc>
          <w:tcPr>
            <w:tcW w:w="4535" w:type="dxa"/>
          </w:tcPr>
          <w:p w14:paraId="6A6CD9EB">
            <w:r>
              <w:rPr>
                <w:rFonts w:ascii="宋体" w:hAnsi="宋体" w:eastAsia="宋体"/>
                <w:sz w:val="21"/>
              </w:rPr>
              <w:t>单位经济承压，模块从“战略资产”转为“战略包袱”</w:t>
            </w:r>
          </w:p>
        </w:tc>
      </w:tr>
    </w:tbl>
    <w:p w14:paraId="0EF2CAA1">
      <w:pPr>
        <w:spacing w:before="0" w:after="120"/>
        <w:ind w:firstLine="440"/>
      </w:pPr>
      <w:r>
        <w:rPr>
          <w:rFonts w:ascii="宋体" w:hAnsi="宋体" w:eastAsia="宋体"/>
          <w:b w:val="0"/>
          <w:sz w:val="22"/>
        </w:rPr>
        <w:t>情景分析的价值在于显式化“判断依赖什么”。乐观情景不是默认会发生，而是依赖“标签 LTV &gt; 补贴成本”这个可证伪条件；悲观情景的触发变量是“时间机会成本结构逆转”——这正是第十章前瞻变量要盯的东西。</w:t>
      </w:r>
    </w:p>
    <w:p w14:paraId="39F16B37">
      <w:pPr>
        <w:spacing w:before="0" w:after="120"/>
        <w:ind w:firstLine="440"/>
      </w:pPr>
      <w:r>
        <w:rPr>
          <w:rFonts w:ascii="宋体" w:hAnsi="宋体" w:eastAsia="宋体"/>
          <w:b w:val="0"/>
          <w:sz w:val="22"/>
        </w:rPr>
        <w:t>另设一重替代情景作为终局参照：若芭芭农场停止运营，阿里/蚂蚁生态的日均使用时长、支付后留存率、以及站内导购转化效率将受到多大冲击？基于行业经验估算，模块关闭后约 20%–30% 的农场 DAU 不会回流至支付宝其他功能（即“纯增量留存”），这部分用户时长损失等价于每年数亿次导购曝光的蒸发。该替代情景的参照价值在于：即使悲观情景发生（时间机会成本上升），只要模块的“纯增量留存”贡献仍大于其运营成本，关闭就不是最优解——这构成了价值底线的锚点。会看“往前走会怎样”，也会看“如果这东西没了会怎样”，是行研里价值底线思维的基本功。</w:t>
      </w:r>
    </w:p>
    <w:p w14:paraId="17F44EFE">
      <w:pPr>
        <w:pStyle w:val="3"/>
        <w:keepNext/>
        <w:spacing w:before="360" w:after="160"/>
      </w:pPr>
      <w:bookmarkStart w:id="13" w:name="_Toc13390"/>
      <w:r>
        <w:rPr>
          <w:rFonts w:ascii="黑体" w:hAnsi="黑体" w:eastAsia="黑体"/>
          <w:b/>
          <w:color w:val="1F2329"/>
          <w:sz w:val="30"/>
        </w:rPr>
        <w:t>九、催化剂与风险</w:t>
      </w:r>
      <w:bookmarkEnd w:id="13"/>
    </w:p>
    <w:p w14:paraId="63AE943D">
      <w:pPr>
        <w:spacing w:before="160" w:after="60"/>
        <w:jc w:val="center"/>
      </w:pPr>
      <w:r>
        <w:rPr>
          <w:rFonts w:ascii="黑体" w:hAnsi="黑体" w:eastAsia="黑体"/>
          <w:b/>
          <w:color w:val="23303F"/>
          <w:sz w:val="21"/>
        </w:rPr>
        <w:t>表 6　催化剂与风险清单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1"/>
        <w:gridCol w:w="3062"/>
        <w:gridCol w:w="4583"/>
      </w:tblGrid>
      <w:tr w14:paraId="635B12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shd w:val="clear" w:color="auto" w:fill="23303F"/>
          </w:tcPr>
          <w:p w14:paraId="184B5CD1">
            <w:r>
              <w:rPr>
                <w:rFonts w:ascii="黑体" w:hAnsi="黑体" w:eastAsia="黑体"/>
                <w:b/>
                <w:color w:val="FFFFFF"/>
                <w:sz w:val="21"/>
              </w:rPr>
              <w:t>类别</w:t>
            </w:r>
          </w:p>
        </w:tc>
        <w:tc>
          <w:tcPr>
            <w:tcW w:w="3175" w:type="dxa"/>
            <w:shd w:val="clear" w:color="auto" w:fill="23303F"/>
          </w:tcPr>
          <w:p w14:paraId="62B1A015">
            <w:r>
              <w:rPr>
                <w:rFonts w:ascii="黑体" w:hAnsi="黑体" w:eastAsia="黑体"/>
                <w:b/>
                <w:color w:val="FFFFFF"/>
                <w:sz w:val="21"/>
              </w:rPr>
              <w:t>因素</w:t>
            </w:r>
          </w:p>
        </w:tc>
        <w:tc>
          <w:tcPr>
            <w:tcW w:w="4762" w:type="dxa"/>
            <w:shd w:val="clear" w:color="auto" w:fill="23303F"/>
          </w:tcPr>
          <w:p w14:paraId="6BC417EA">
            <w:r>
              <w:rPr>
                <w:rFonts w:ascii="黑体" w:hAnsi="黑体" w:eastAsia="黑体"/>
                <w:b/>
                <w:color w:val="FFFFFF"/>
                <w:sz w:val="21"/>
              </w:rPr>
              <w:t>方向与机制</w:t>
            </w:r>
          </w:p>
        </w:tc>
      </w:tr>
      <w:tr w14:paraId="747B7C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</w:tcPr>
          <w:p w14:paraId="3F61D3BE">
            <w:r>
              <w:rPr>
                <w:rFonts w:ascii="宋体" w:hAnsi="宋体" w:eastAsia="宋体"/>
                <w:sz w:val="21"/>
              </w:rPr>
              <w:t>催化剂</w:t>
            </w:r>
          </w:p>
        </w:tc>
        <w:tc>
          <w:tcPr>
            <w:tcW w:w="3175" w:type="dxa"/>
          </w:tcPr>
          <w:p w14:paraId="299F6FAF">
            <w:r>
              <w:rPr>
                <w:rFonts w:ascii="宋体" w:hAnsi="宋体" w:eastAsia="宋体"/>
                <w:sz w:val="21"/>
              </w:rPr>
              <w:t>生态协同深化（本地生活/内容接入）</w:t>
            </w:r>
          </w:p>
        </w:tc>
        <w:tc>
          <w:tcPr>
            <w:tcW w:w="4762" w:type="dxa"/>
          </w:tcPr>
          <w:p w14:paraId="556D22CA">
            <w:r>
              <w:rPr>
                <w:rFonts w:ascii="宋体" w:hAnsi="宋体" w:eastAsia="宋体"/>
                <w:sz w:val="21"/>
              </w:rPr>
              <w:t>扩大注意力归集与变现链路，正</w:t>
            </w:r>
          </w:p>
        </w:tc>
      </w:tr>
      <w:tr w14:paraId="146614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</w:tcPr>
          <w:p w14:paraId="281D24A0">
            <w:r>
              <w:rPr>
                <w:rFonts w:ascii="宋体" w:hAnsi="宋体" w:eastAsia="宋体"/>
                <w:sz w:val="21"/>
              </w:rPr>
              <w:t>催化剂</w:t>
            </w:r>
          </w:p>
        </w:tc>
        <w:tc>
          <w:tcPr>
            <w:tcW w:w="3175" w:type="dxa"/>
          </w:tcPr>
          <w:p w14:paraId="4F0EF021">
            <w:r>
              <w:rPr>
                <w:rFonts w:ascii="宋体" w:hAnsi="宋体" w:eastAsia="宋体"/>
                <w:sz w:val="21"/>
              </w:rPr>
              <w:t>助农 ESG 叙事</w:t>
            </w:r>
          </w:p>
        </w:tc>
        <w:tc>
          <w:tcPr>
            <w:tcW w:w="4762" w:type="dxa"/>
          </w:tcPr>
          <w:p w14:paraId="1D5DA7DC">
            <w:r>
              <w:rPr>
                <w:rFonts w:ascii="宋体" w:hAnsi="宋体" w:eastAsia="宋体"/>
                <w:sz w:val="21"/>
              </w:rPr>
              <w:t>降低监管与舆论沟通成本；作正向舆情资产，正</w:t>
            </w:r>
          </w:p>
        </w:tc>
      </w:tr>
      <w:tr w14:paraId="32AE0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</w:tcPr>
          <w:p w14:paraId="5B7E02F9">
            <w:r>
              <w:rPr>
                <w:rFonts w:ascii="宋体" w:hAnsi="宋体" w:eastAsia="宋体"/>
                <w:sz w:val="21"/>
              </w:rPr>
              <w:t>催化剂</w:t>
            </w:r>
          </w:p>
        </w:tc>
        <w:tc>
          <w:tcPr>
            <w:tcW w:w="3175" w:type="dxa"/>
          </w:tcPr>
          <w:p w14:paraId="37C5796B">
            <w:r>
              <w:rPr>
                <w:rFonts w:ascii="宋体" w:hAnsi="宋体" w:eastAsia="宋体"/>
                <w:sz w:val="21"/>
              </w:rPr>
              <w:t>用户行为标签积累</w:t>
            </w:r>
          </w:p>
        </w:tc>
        <w:tc>
          <w:tcPr>
            <w:tcW w:w="4762" w:type="dxa"/>
          </w:tcPr>
          <w:p w14:paraId="7BF11943">
            <w:r>
              <w:rPr>
                <w:rFonts w:ascii="宋体" w:hAnsi="宋体" w:eastAsia="宋体"/>
                <w:sz w:val="21"/>
              </w:rPr>
              <w:t>提升精准营销与 LTV，正</w:t>
            </w:r>
          </w:p>
        </w:tc>
      </w:tr>
      <w:tr w14:paraId="4CFA53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</w:tcPr>
          <w:p w14:paraId="76596C94">
            <w:r>
              <w:rPr>
                <w:rFonts w:ascii="宋体" w:hAnsi="宋体" w:eastAsia="宋体"/>
                <w:sz w:val="21"/>
              </w:rPr>
              <w:t>风险</w:t>
            </w:r>
          </w:p>
        </w:tc>
        <w:tc>
          <w:tcPr>
            <w:tcW w:w="3175" w:type="dxa"/>
          </w:tcPr>
          <w:p w14:paraId="5A73F68E">
            <w:r>
              <w:rPr>
                <w:rFonts w:ascii="宋体" w:hAnsi="宋体" w:eastAsia="宋体"/>
                <w:sz w:val="21"/>
              </w:rPr>
              <w:t>时间机会成本上升（短剧/直播争夺）</w:t>
            </w:r>
          </w:p>
        </w:tc>
        <w:tc>
          <w:tcPr>
            <w:tcW w:w="4762" w:type="dxa"/>
          </w:tcPr>
          <w:p w14:paraId="63D05817">
            <w:r>
              <w:rPr>
                <w:rFonts w:ascii="宋体" w:hAnsi="宋体" w:eastAsia="宋体"/>
                <w:sz w:val="21"/>
              </w:rPr>
              <w:t>单位经济承压，核心风险，负</w:t>
            </w:r>
          </w:p>
        </w:tc>
      </w:tr>
      <w:tr w14:paraId="09A6EF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</w:tcPr>
          <w:p w14:paraId="6493EBBB">
            <w:r>
              <w:rPr>
                <w:rFonts w:ascii="宋体" w:hAnsi="宋体" w:eastAsia="宋体"/>
                <w:sz w:val="21"/>
              </w:rPr>
              <w:t>风险</w:t>
            </w:r>
          </w:p>
        </w:tc>
        <w:tc>
          <w:tcPr>
            <w:tcW w:w="3175" w:type="dxa"/>
          </w:tcPr>
          <w:p w14:paraId="52D7A58A">
            <w:r>
              <w:rPr>
                <w:rFonts w:ascii="宋体" w:hAnsi="宋体" w:eastAsia="宋体"/>
                <w:sz w:val="21"/>
              </w:rPr>
              <w:t>监管（补贴/诱导消费）</w:t>
            </w:r>
          </w:p>
        </w:tc>
        <w:tc>
          <w:tcPr>
            <w:tcW w:w="4762" w:type="dxa"/>
          </w:tcPr>
          <w:p w14:paraId="737E8AE9">
            <w:r>
              <w:rPr>
                <w:rFonts w:ascii="宋体" w:hAnsi="宋体" w:eastAsia="宋体"/>
                <w:sz w:val="21"/>
              </w:rPr>
              <w:t>约束玩法空间，负</w:t>
            </w:r>
          </w:p>
        </w:tc>
      </w:tr>
      <w:tr w14:paraId="73A38F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</w:tcPr>
          <w:p w14:paraId="1DA13D59">
            <w:r>
              <w:rPr>
                <w:rFonts w:ascii="宋体" w:hAnsi="宋体" w:eastAsia="宋体"/>
                <w:sz w:val="21"/>
              </w:rPr>
              <w:t>风险</w:t>
            </w:r>
          </w:p>
        </w:tc>
        <w:tc>
          <w:tcPr>
            <w:tcW w:w="3175" w:type="dxa"/>
          </w:tcPr>
          <w:p w14:paraId="1DB618CD">
            <w:r>
              <w:rPr>
                <w:rFonts w:ascii="宋体" w:hAnsi="宋体" w:eastAsia="宋体"/>
                <w:sz w:val="21"/>
              </w:rPr>
              <w:t>舆情（砍水果轨引发反噬）</w:t>
            </w:r>
          </w:p>
        </w:tc>
        <w:tc>
          <w:tcPr>
            <w:tcW w:w="4762" w:type="dxa"/>
          </w:tcPr>
          <w:p w14:paraId="6B974E64">
            <w:r>
              <w:rPr>
                <w:rFonts w:ascii="宋体" w:hAnsi="宋体" w:eastAsia="宋体"/>
                <w:sz w:val="21"/>
              </w:rPr>
              <w:t>社媒负面提及率上升，负</w:t>
            </w:r>
          </w:p>
        </w:tc>
      </w:tr>
    </w:tbl>
    <w:p w14:paraId="3C328C25">
      <w:pPr>
        <w:spacing w:before="0" w:after="120"/>
        <w:ind w:firstLine="440"/>
      </w:pPr>
      <w:r>
        <w:rPr>
          <w:rFonts w:ascii="宋体" w:hAnsi="宋体" w:eastAsia="宋体"/>
          <w:b w:val="0"/>
          <w:sz w:val="22"/>
        </w:rPr>
        <w:t>助农叙事在这里被量化为两类指标：作为催化剂，它降低监管沟通成本、贡献正向舆情；作为风险护栏，砍水果轨全换券可能触发社媒负面提及率上升。把“算不进 ROI 的社会价值”显性化为 ESG 维度，是行研从单纯财务视角走向“全局视角”的体现。</w:t>
      </w:r>
    </w:p>
    <w:p w14:paraId="57525AD8">
      <w:pPr>
        <w:pStyle w:val="3"/>
        <w:keepNext/>
        <w:spacing w:before="360" w:after="160"/>
      </w:pPr>
      <w:bookmarkStart w:id="14" w:name="_Toc14673"/>
      <w:r>
        <w:rPr>
          <w:rFonts w:ascii="黑体" w:hAnsi="黑体" w:eastAsia="黑体"/>
          <w:b/>
          <w:color w:val="1F2329"/>
          <w:sz w:val="30"/>
        </w:rPr>
        <w:t>十、投资启示与前瞻变量</w:t>
      </w:r>
      <w:bookmarkEnd w:id="14"/>
    </w:p>
    <w:p w14:paraId="7D13C770">
      <w:pPr>
        <w:spacing w:before="0" w:after="120"/>
        <w:ind w:firstLine="440"/>
      </w:pPr>
      <w:r>
        <w:rPr>
          <w:rFonts w:ascii="宋体" w:hAnsi="宋体" w:eastAsia="宋体"/>
          <w:b w:val="0"/>
          <w:sz w:val="22"/>
        </w:rPr>
        <w:t>芭芭农场的真正价值，在于它提供了一个观察超级 App 用户运营与导购转化能力的微观样本。对投资而言，应把“用户时长 / 留存效率 / 转化率 / 生态协同度”作为电商与本地生活估值的前瞻变量，前置跟踪（见下表）。</w:t>
      </w:r>
    </w:p>
    <w:p w14:paraId="671789A6">
      <w:pPr>
        <w:spacing w:before="160" w:after="60"/>
        <w:jc w:val="center"/>
      </w:pPr>
      <w:r>
        <w:rPr>
          <w:rFonts w:ascii="黑体" w:hAnsi="黑体" w:eastAsia="黑体"/>
          <w:b/>
          <w:color w:val="23303F"/>
          <w:sz w:val="21"/>
        </w:rPr>
        <w:t>表 7　估值前瞻变量与可比标的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65"/>
        <w:gridCol w:w="3063"/>
        <w:gridCol w:w="3928"/>
      </w:tblGrid>
      <w:tr w14:paraId="1A49FE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shd w:val="clear" w:color="auto" w:fill="23303F"/>
          </w:tcPr>
          <w:p w14:paraId="0452CD5C">
            <w:r>
              <w:rPr>
                <w:rFonts w:ascii="黑体" w:hAnsi="黑体" w:eastAsia="黑体"/>
                <w:b/>
                <w:color w:val="FFFFFF"/>
                <w:sz w:val="21"/>
              </w:rPr>
              <w:t>前瞻变量</w:t>
            </w:r>
          </w:p>
        </w:tc>
        <w:tc>
          <w:tcPr>
            <w:tcW w:w="3175" w:type="dxa"/>
            <w:shd w:val="clear" w:color="auto" w:fill="23303F"/>
          </w:tcPr>
          <w:p w14:paraId="4132A167">
            <w:r>
              <w:rPr>
                <w:rFonts w:ascii="黑体" w:hAnsi="黑体" w:eastAsia="黑体"/>
                <w:b/>
                <w:color w:val="FFFFFF"/>
                <w:sz w:val="21"/>
              </w:rPr>
              <w:t>为何重要</w:t>
            </w:r>
          </w:p>
        </w:tc>
        <w:tc>
          <w:tcPr>
            <w:tcW w:w="4082" w:type="dxa"/>
            <w:shd w:val="clear" w:color="auto" w:fill="23303F"/>
          </w:tcPr>
          <w:p w14:paraId="506B8F08">
            <w:r>
              <w:rPr>
                <w:rFonts w:ascii="黑体" w:hAnsi="黑体" w:eastAsia="黑体"/>
                <w:b/>
                <w:color w:val="FFFFFF"/>
                <w:sz w:val="21"/>
              </w:rPr>
              <w:t>可比观察标的</w:t>
            </w:r>
          </w:p>
        </w:tc>
      </w:tr>
      <w:tr w14:paraId="2D7296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</w:tcPr>
          <w:p w14:paraId="65676E8E">
            <w:r>
              <w:rPr>
                <w:rFonts w:ascii="宋体" w:hAnsi="宋体" w:eastAsia="宋体"/>
                <w:sz w:val="21"/>
              </w:rPr>
              <w:t>用户时长/留存效率</w:t>
            </w:r>
          </w:p>
        </w:tc>
        <w:tc>
          <w:tcPr>
            <w:tcW w:w="3175" w:type="dxa"/>
          </w:tcPr>
          <w:p w14:paraId="17F787F4">
            <w:r>
              <w:rPr>
                <w:rFonts w:ascii="宋体" w:hAnsi="宋体" w:eastAsia="宋体"/>
                <w:sz w:val="21"/>
              </w:rPr>
              <w:t>存量时代 DAU 质量的核心</w:t>
            </w:r>
          </w:p>
        </w:tc>
        <w:tc>
          <w:tcPr>
            <w:tcW w:w="4082" w:type="dxa"/>
          </w:tcPr>
          <w:p w14:paraId="7746C082">
            <w:r>
              <w:rPr>
                <w:rFonts w:ascii="宋体" w:hAnsi="宋体" w:eastAsia="宋体"/>
                <w:sz w:val="21"/>
              </w:rPr>
              <w:t>阿里 vs 拼多多 vs 抖音</w:t>
            </w:r>
          </w:p>
        </w:tc>
      </w:tr>
      <w:tr w14:paraId="588678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</w:tcPr>
          <w:p w14:paraId="18980BCB">
            <w:r>
              <w:rPr>
                <w:rFonts w:ascii="宋体" w:hAnsi="宋体" w:eastAsia="宋体"/>
                <w:sz w:val="21"/>
              </w:rPr>
              <w:t>转化率/核销率</w:t>
            </w:r>
          </w:p>
        </w:tc>
        <w:tc>
          <w:tcPr>
            <w:tcW w:w="3175" w:type="dxa"/>
          </w:tcPr>
          <w:p w14:paraId="5FE588FA">
            <w:r>
              <w:rPr>
                <w:rFonts w:ascii="宋体" w:hAnsi="宋体" w:eastAsia="宋体"/>
                <w:sz w:val="21"/>
              </w:rPr>
              <w:t>留存转化为 GMV 的效率</w:t>
            </w:r>
          </w:p>
        </w:tc>
        <w:tc>
          <w:tcPr>
            <w:tcW w:w="4082" w:type="dxa"/>
          </w:tcPr>
          <w:p w14:paraId="1B42F27C">
            <w:r>
              <w:rPr>
                <w:rFonts w:ascii="宋体" w:hAnsi="宋体" w:eastAsia="宋体"/>
                <w:sz w:val="21"/>
              </w:rPr>
              <w:t>阿里电商导购能力</w:t>
            </w:r>
          </w:p>
        </w:tc>
      </w:tr>
      <w:tr w14:paraId="59DFA3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</w:tcPr>
          <w:p w14:paraId="03BD5281">
            <w:r>
              <w:rPr>
                <w:rFonts w:ascii="宋体" w:hAnsi="宋体" w:eastAsia="宋体"/>
                <w:sz w:val="21"/>
              </w:rPr>
              <w:t>生态协同度</w:t>
            </w:r>
          </w:p>
        </w:tc>
        <w:tc>
          <w:tcPr>
            <w:tcW w:w="3175" w:type="dxa"/>
          </w:tcPr>
          <w:p w14:paraId="0001A92F">
            <w:r>
              <w:rPr>
                <w:rFonts w:ascii="宋体" w:hAnsi="宋体" w:eastAsia="宋体"/>
                <w:sz w:val="21"/>
              </w:rPr>
              <w:t>跨场景注意力归集能力</w:t>
            </w:r>
          </w:p>
        </w:tc>
        <w:tc>
          <w:tcPr>
            <w:tcW w:w="4082" w:type="dxa"/>
          </w:tcPr>
          <w:p w14:paraId="4D9C6FDC">
            <w:r>
              <w:rPr>
                <w:rFonts w:ascii="宋体" w:hAnsi="宋体" w:eastAsia="宋体"/>
                <w:sz w:val="21"/>
              </w:rPr>
              <w:t>阿里/蚂蚁生态打通程度</w:t>
            </w:r>
          </w:p>
        </w:tc>
      </w:tr>
      <w:tr w14:paraId="6462E7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</w:tcPr>
          <w:p w14:paraId="5F06E378">
            <w:r>
              <w:rPr>
                <w:rFonts w:ascii="宋体" w:hAnsi="宋体" w:eastAsia="宋体"/>
                <w:sz w:val="21"/>
              </w:rPr>
              <w:t>时间机会成本结构</w:t>
            </w:r>
          </w:p>
        </w:tc>
        <w:tc>
          <w:tcPr>
            <w:tcW w:w="3175" w:type="dxa"/>
          </w:tcPr>
          <w:p w14:paraId="4432D3EB">
            <w:r>
              <w:rPr>
                <w:rFonts w:ascii="宋体" w:hAnsi="宋体" w:eastAsia="宋体"/>
                <w:sz w:val="21"/>
              </w:rPr>
              <w:t>模式经济性的底层前提</w:t>
            </w:r>
          </w:p>
        </w:tc>
        <w:tc>
          <w:tcPr>
            <w:tcW w:w="4082" w:type="dxa"/>
          </w:tcPr>
          <w:p w14:paraId="6F6C8AF9">
            <w:r>
              <w:rPr>
                <w:rFonts w:ascii="宋体" w:hAnsi="宋体" w:eastAsia="宋体"/>
                <w:sz w:val="21"/>
              </w:rPr>
              <w:t>下沉市场可支配时间争夺</w:t>
            </w:r>
          </w:p>
        </w:tc>
      </w:tr>
    </w:tbl>
    <w:p w14:paraId="0E4FB8C3">
      <w:pPr>
        <w:spacing w:before="0" w:after="120"/>
        <w:ind w:firstLine="440"/>
      </w:pPr>
      <w:r>
        <w:rPr>
          <w:rFonts w:ascii="宋体" w:hAnsi="宋体" w:eastAsia="宋体"/>
          <w:b w:val="0"/>
          <w:sz w:val="22"/>
        </w:rPr>
        <w:t>可比标的：拼多多（多多果园/社交裂变，看拉新效率）、美团（会员体系，看本地生活复购）、抖音（内容留存，看时长与内容转化）。三者与芭芭农场构成“留存—裂变—内容”三种路径的对照样本。</w:t>
      </w:r>
    </w:p>
    <w:p w14:paraId="5E2923C7">
      <w:pPr>
        <w:pStyle w:val="3"/>
        <w:keepNext/>
        <w:spacing w:before="360" w:after="160"/>
      </w:pPr>
      <w:bookmarkStart w:id="15" w:name="_Toc30593"/>
      <w:r>
        <w:rPr>
          <w:rFonts w:ascii="黑体" w:hAnsi="黑体" w:eastAsia="黑体"/>
          <w:b/>
          <w:color w:val="1F2329"/>
          <w:sz w:val="30"/>
        </w:rPr>
        <w:t>十一、结论与评级式判断</w:t>
      </w:r>
      <w:bookmarkEnd w:id="15"/>
    </w:p>
    <w:p w14:paraId="79711B3E">
      <w:pPr>
        <w:spacing w:before="0" w:after="120"/>
        <w:ind w:firstLine="440"/>
      </w:pPr>
      <w:r>
        <w:rPr>
          <w:rFonts w:ascii="宋体" w:hAnsi="宋体" w:eastAsia="宋体"/>
          <w:b w:val="0"/>
          <w:sz w:val="22"/>
        </w:rPr>
        <w:t>芭芭农场是超级 App 存量时代的留存+导购战略基础设施，不是边缘小游戏。它用边际成本趋近于零的虚拟货币归集跨 APP 碎片化时间，再以导购抽佣、券核销、留存估值三条路径变现；护城河来自生态协同与支付高频底座，可复制性有限。</w:t>
      </w:r>
    </w:p>
    <w:p w14:paraId="45EE999E">
      <w:pPr>
        <w:shd w:val="clear" w:color="auto" w:fill="EAF2FF"/>
        <w:spacing w:before="160" w:after="160"/>
      </w:pPr>
      <w:r>
        <w:rPr>
          <w:rFonts w:ascii="宋体" w:hAnsi="宋体" w:eastAsia="宋体"/>
          <w:b/>
          <w:color w:val="0A6CFF"/>
          <w:sz w:val="22"/>
        </w:rPr>
        <w:t>评级式判断：超配（有条件）</w:t>
      </w:r>
      <w:r>
        <w:rPr>
          <w:rFonts w:ascii="宋体" w:hAnsi="宋体" w:eastAsia="宋体"/>
          <w:b/>
          <w:color w:val="0A6CFF"/>
          <w:sz w:val="22"/>
        </w:rPr>
        <w:br w:type="textWrapping"/>
      </w:r>
      <w:r>
        <w:rPr>
          <w:rFonts w:ascii="宋体" w:hAnsi="宋体" w:eastAsia="宋体"/>
          <w:sz w:val="22"/>
        </w:rPr>
        <w:t>在电商及本地生活赛道的游戏化用户运营细分领域，芭芭农场作为代表性微观样本，建议超配关注。超配的前提是三条同时成立：①模块总价值持续跑赢资源位 RPM；②用户时间机会成本结构不逆转；③若下调商品兑换门槛，仅在“标签 LTV &gt; 补贴成本”时推进。三前提任一逆转，则由“超配”降为“标配/低配观察”，模块由“战略资产”转为“战略包袱”。逆命题同样成立：一个同时具备碎片化时间、可控钩子、高频目标行为的业务，若不用五段闭环设计留存转化，大概率踩“首单后流失、补贴停即走、活动结束即回落”三类坑——这套打法的价值，不在用了就赢，而在不用大概率会输。</w:t>
      </w:r>
    </w:p>
    <w:p w14:paraId="5D612EB5">
      <w:pPr>
        <w:spacing w:before="0" w:after="120"/>
        <w:ind w:firstLine="440"/>
      </w:pPr>
      <w:r>
        <w:rPr>
          <w:rFonts w:ascii="宋体" w:hAnsi="宋体" w:eastAsia="宋体"/>
          <w:b w:val="0"/>
          <w:sz w:val="22"/>
        </w:rPr>
        <w:t>把“条件”变成可检查的仪表盘，判断才从观点走向可跟踪资产。三个前提的监控频率与临界阈值如下：①资源位 RPM——每季度对标集团广告系统实际成交价，若模块总价值连续两季度低于 RPM 且无改善趋势，触发降评；②时间机会成本结构——每半年跟踪目标人群在短视频、直播、游戏等替代活动上的日均时长变化，若同比增幅超过 20% 且持续两季度，触发预警；③标签 LTV vs 补贴成本——随 P0 实验持续校验，若连续三周 LTV 增量无法覆盖补贴成本，则暂停降门槛推进。三个指标里，②是底层变量、最该长期盯，①是中期约束，③是短期操作闸门。</w:t>
      </w:r>
    </w:p>
    <w:p w14:paraId="6D2F8357">
      <w:pPr>
        <w:spacing w:before="0" w:after="120"/>
        <w:ind w:firstLine="440"/>
      </w:pPr>
      <w:r>
        <w:rPr>
          <w:rFonts w:ascii="宋体" w:hAnsi="宋体" w:eastAsia="宋体"/>
          <w:b w:val="0"/>
          <w:sz w:val="22"/>
        </w:rPr>
        <w:t>最后留给局限：模块级精确归因做不到，所有数字为方向性；行为机制为可检验假设；情景分析依赖的前提变量需持续跟踪。行研的价值不在给出确定答案，在于把判断依赖的前提显式化——前提可被证伪，判断才可被修正。</w:t>
      </w:r>
    </w:p>
    <w:p w14:paraId="31FE5AB3">
      <w:pPr>
        <w:pStyle w:val="3"/>
        <w:keepNext/>
        <w:spacing w:before="360" w:after="160"/>
      </w:pPr>
      <w:bookmarkStart w:id="16" w:name="_Toc8955"/>
      <w:r>
        <w:rPr>
          <w:rFonts w:ascii="黑体" w:hAnsi="黑体" w:eastAsia="黑体"/>
          <w:b/>
          <w:color w:val="1F2329"/>
          <w:sz w:val="30"/>
        </w:rPr>
        <w:t>附录 A　方法论与局限性</w:t>
      </w:r>
      <w:bookmarkEnd w:id="16"/>
    </w:p>
    <w:p w14:paraId="2AB7C31B">
      <w:pPr>
        <w:pStyle w:val="16"/>
        <w:spacing w:after="60"/>
        <w:ind w:left="425"/>
      </w:pPr>
      <w:r>
        <w:rPr>
          <w:rFonts w:ascii="宋体" w:hAnsi="宋体" w:eastAsia="宋体"/>
          <w:sz w:val="22"/>
        </w:rPr>
        <w:t>事实基础为公开行业报道、平台规则说明与作者个人产品实测（截至 2026 年 8 月）；产品规则随版本迭代可能变动，数值以 APP 内为准。</w:t>
      </w:r>
    </w:p>
    <w:p w14:paraId="1C8729DD">
      <w:pPr>
        <w:pStyle w:val="16"/>
        <w:spacing w:after="60"/>
        <w:ind w:left="425"/>
      </w:pPr>
      <w:r>
        <w:rPr>
          <w:rFonts w:ascii="宋体" w:hAnsi="宋体" w:eastAsia="宋体"/>
          <w:sz w:val="22"/>
        </w:rPr>
        <w:t>单位经济模型为方向性框架，关键参数 A、k、G、m 及 RPM（X、Y）均为假设，须以埋点与归因实验校准；增量 GMV 的归因折扣是最大不确定性来源。</w:t>
      </w:r>
    </w:p>
    <w:p w14:paraId="091AA494">
      <w:pPr>
        <w:pStyle w:val="16"/>
        <w:spacing w:after="60"/>
        <w:ind w:left="425"/>
      </w:pPr>
      <w:r>
        <w:rPr>
          <w:rFonts w:ascii="宋体" w:hAnsi="宋体" w:eastAsia="宋体"/>
          <w:sz w:val="22"/>
        </w:rPr>
        <w:t>情景分析的前提变量（时间机会成本、标签 LTV、监管态度）需持续跟踪；本报告判断随前提变化而修正，非终局结论。</w:t>
      </w:r>
    </w:p>
    <w:p w14:paraId="23FDCA18">
      <w:pPr>
        <w:pStyle w:val="16"/>
        <w:spacing w:after="60"/>
        <w:ind w:left="425"/>
      </w:pPr>
      <w:r>
        <w:rPr>
          <w:rFonts w:ascii="宋体" w:hAnsi="宋体" w:eastAsia="宋体"/>
          <w:sz w:val="22"/>
        </w:rPr>
        <w:t>竞争格局与护城河判断基于公开信息，各平台玩法迭代较快，结论需定期复核。</w:t>
      </w:r>
    </w:p>
    <w:p w14:paraId="167D0CF7">
      <w:pPr>
        <w:pStyle w:val="16"/>
        <w:spacing w:after="60"/>
        <w:ind w:left="425"/>
      </w:pPr>
      <w:r>
        <w:rPr>
          <w:rFonts w:ascii="宋体" w:hAnsi="宋体" w:eastAsia="宋体"/>
          <w:sz w:val="22"/>
        </w:rPr>
        <w:t>本报告不构成投资建议；分析视角为行业研究与战略研判，结论限于方向性判断。</w:t>
      </w:r>
    </w:p>
    <w:p w14:paraId="15574E15">
      <w:pPr>
        <w:pStyle w:val="3"/>
        <w:keepNext/>
        <w:spacing w:before="360" w:after="160"/>
      </w:pPr>
      <w:bookmarkStart w:id="17" w:name="_Toc17761"/>
      <w:r>
        <w:rPr>
          <w:rFonts w:ascii="黑体" w:hAnsi="黑体" w:eastAsia="黑体"/>
          <w:b/>
          <w:color w:val="1F2329"/>
          <w:sz w:val="30"/>
        </w:rPr>
        <w:t>附录 B　参考文献</w:t>
      </w:r>
      <w:bookmarkEnd w:id="17"/>
    </w:p>
    <w:p w14:paraId="6C9FB4A5">
      <w:pPr>
        <w:spacing w:after="60"/>
        <w:ind w:left="283" w:hanging="283"/>
      </w:pPr>
      <w:r>
        <w:rPr>
          <w:rFonts w:ascii="宋体" w:hAnsi="宋体" w:eastAsia="宋体"/>
          <w:sz w:val="20"/>
        </w:rPr>
        <w:t>[1] 中国互联网络信息中心. 第56次中国互联网络发展状况统计报告[R]. 北京: CNNIC, 2025-06.</w:t>
      </w:r>
    </w:p>
    <w:p w14:paraId="5B400D59">
      <w:pPr>
        <w:spacing w:after="60"/>
        <w:ind w:left="283" w:hanging="283"/>
      </w:pPr>
      <w:r>
        <w:rPr>
          <w:rFonts w:ascii="宋体" w:hAnsi="宋体" w:eastAsia="宋体"/>
          <w:sz w:val="20"/>
        </w:rPr>
        <w:t>[2] 艾瑞咨询. 2025年电商行业获客成本研究报告[R/OL]. (2025)[2026-08]. 头部电商单客获客成本300–500元。</w:t>
      </w:r>
    </w:p>
    <w:p w14:paraId="54AC3552">
      <w:pPr>
        <w:spacing w:after="60"/>
        <w:ind w:left="283" w:hanging="283"/>
      </w:pPr>
      <w:r>
        <w:rPr>
          <w:rFonts w:ascii="宋体" w:hAnsi="宋体" w:eastAsia="宋体"/>
          <w:sz w:val="20"/>
        </w:rPr>
        <w:t>[3] 阿里巴巴集团. 2025财政年度报告及季度业绩公告[R/OL]. (2025)[2026-08]. 年度活跃消费者、GMV、客户管理收入口径。</w:t>
      </w:r>
    </w:p>
    <w:p w14:paraId="00E9149D">
      <w:pPr>
        <w:spacing w:after="60"/>
        <w:ind w:left="283" w:hanging="283"/>
      </w:pPr>
      <w:r>
        <w:rPr>
          <w:rFonts w:ascii="宋体" w:hAnsi="宋体" w:eastAsia="宋体"/>
          <w:sz w:val="20"/>
        </w:rPr>
        <w:t>[4] 拼多多控股. 2024年度报告(20-F)[R/OL]. (2025)[2026-08]. 活跃买家、在线营销服务收入。</w:t>
      </w:r>
    </w:p>
    <w:p w14:paraId="47B71C60">
      <w:pPr>
        <w:spacing w:after="60"/>
        <w:ind w:left="283" w:hanging="283"/>
      </w:pPr>
      <w:r>
        <w:rPr>
          <w:rFonts w:ascii="宋体" w:hAnsi="宋体" w:eastAsia="宋体"/>
          <w:sz w:val="20"/>
        </w:rPr>
        <w:t>[5] 美团. 2024年度报告[R/OL]. (2025)[2026-08]. 年度交易用户、活跃商户、本地生活高频场景数据。</w:t>
      </w:r>
    </w:p>
    <w:p w14:paraId="0F73589E">
      <w:pPr>
        <w:spacing w:after="60"/>
        <w:ind w:left="283" w:hanging="283"/>
      </w:pPr>
      <w:r>
        <w:rPr>
          <w:rFonts w:ascii="宋体" w:hAnsi="宋体" w:eastAsia="宋体"/>
          <w:sz w:val="20"/>
        </w:rPr>
        <w:t>[6] QuestMobile. 2025年中国移动互联网秋季大报告[R/OL]. (2025)[2026-08]. 用户时长、留存与渗透率数据口径。</w:t>
      </w:r>
    </w:p>
    <w:p w14:paraId="25AF92E3">
      <w:pPr>
        <w:spacing w:after="60"/>
        <w:ind w:left="283" w:hanging="283"/>
      </w:pPr>
      <w:r>
        <w:rPr>
          <w:rFonts w:ascii="宋体" w:hAnsi="宋体" w:eastAsia="宋体"/>
          <w:sz w:val="20"/>
        </w:rPr>
        <w:t>[7] 店宝宝. 淘宝芭芭农场在哪里？有什么作用？[EB/OL]. (2024)[2026-08]. 阳光兑换红包、满减券、商品券。</w:t>
      </w:r>
    </w:p>
    <w:p w14:paraId="3541F1ED">
      <w:pPr>
        <w:spacing w:after="60"/>
        <w:ind w:left="283" w:hanging="283"/>
      </w:pPr>
      <w:r>
        <w:rPr>
          <w:rFonts w:ascii="宋体" w:hAnsi="宋体" w:eastAsia="宋体"/>
          <w:sz w:val="20"/>
        </w:rPr>
        <w:t>[8] 淘宝卖家中心. 淘宝卖家怎么玩转芭芭农场[EB/OL]. (2024)[2026-08]. 浇水/任务积累能量兑换现金红包、优惠券。</w:t>
      </w:r>
    </w:p>
    <w:p w14:paraId="451A6D35">
      <w:pPr>
        <w:spacing w:after="60"/>
        <w:ind w:left="283" w:hanging="283"/>
      </w:pPr>
      <w:r>
        <w:rPr>
          <w:rFonts w:ascii="宋体" w:hAnsi="宋体" w:eastAsia="宋体"/>
          <w:sz w:val="20"/>
        </w:rPr>
        <w:t>[9] 上游新闻. 打卡一个月领一箱免费水果，电商巨头的“免费水果生意”[N/OL]. 腾讯新闻, 2020-08.</w:t>
      </w:r>
    </w:p>
    <w:p w14:paraId="20DB0CF9">
      <w:pPr>
        <w:spacing w:after="60"/>
        <w:ind w:left="283" w:hanging="283"/>
      </w:pPr>
      <w:r>
        <w:rPr>
          <w:rFonts w:ascii="宋体" w:hAnsi="宋体" w:eastAsia="宋体"/>
          <w:sz w:val="20"/>
        </w:rPr>
        <w:t>[10] 人民网重庆频道. 打卡一月领箱水果 电商巨头“种水果”种的是啥[N/OL]. 2020-08.</w:t>
      </w:r>
    </w:p>
    <w:p w14:paraId="046CFBBB">
      <w:pPr>
        <w:spacing w:after="60"/>
        <w:ind w:left="283" w:hanging="283"/>
      </w:pPr>
      <w:r>
        <w:rPr>
          <w:rFonts w:ascii="宋体" w:hAnsi="宋体" w:eastAsia="宋体"/>
          <w:sz w:val="20"/>
        </w:rPr>
        <w:t>[11] 行业公开资料. 芭芭农场玩法说明[EB/OL]. (2025)[2026-08]. 0.01元包邮兑换、约15级成熟、合种加速。</w:t>
      </w:r>
    </w:p>
    <w:p w14:paraId="63D44866">
      <w:pPr>
        <w:spacing w:after="60"/>
        <w:ind w:left="283" w:hanging="283"/>
      </w:pPr>
      <w:r>
        <w:rPr>
          <w:rFonts w:ascii="宋体" w:hAnsi="宋体" w:eastAsia="宋体"/>
          <w:sz w:val="20"/>
        </w:rPr>
        <w:t>[12] 余可洁. 支付宝芭芭农场产品实测观察[Z]. 2026-08. 商品门槛约几万肥料、日均可得约8–9千。</w:t>
      </w:r>
    </w:p>
    <w:p w14:paraId="7EB93B91">
      <w:pPr>
        <w:spacing w:after="60"/>
        <w:ind w:left="283" w:hanging="283"/>
      </w:pPr>
      <w:r>
        <w:rPr>
          <w:rFonts w:ascii="宋体" w:hAnsi="宋体" w:eastAsia="宋体"/>
          <w:sz w:val="20"/>
        </w:rPr>
        <w:t>[13] 《店宝宝谈水果游戏：推动受众行为是关键》[EB/OL]. 芭芭农场正向激励 vs 多多果园负向驱动对比。</w:t>
      </w:r>
    </w:p>
    <w:p w14:paraId="2E813C20"/>
    <w:p w14:paraId="30F5C49C">
      <w:pPr>
        <w:jc w:val="center"/>
      </w:pPr>
      <w:r>
        <w:rPr>
          <w:rFonts w:ascii="宋体" w:hAnsi="宋体" w:eastAsia="宋体"/>
          <w:color w:val="808080"/>
          <w:sz w:val="18"/>
        </w:rPr>
        <w:t>本报告所有数值均标注假设或来源；产品机制以实际 APP 规则为准。不构成投资建议。</w:t>
      </w:r>
    </w:p>
    <w:sectPr>
      <w:headerReference r:id="rId5" w:type="default"/>
      <w:footerReference r:id="rId6" w:type="default"/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7FE756">
    <w:pPr>
      <w:pStyle w:val="24"/>
      <w:jc w:val="center"/>
    </w:pPr>
    <w:r>
      <w:rPr>
        <w:rFonts w:ascii="宋体" w:hAnsi="宋体" w:eastAsia="宋体"/>
        <w:color w:val="808080"/>
        <w:sz w:val="18"/>
      </w:rPr>
      <w:t xml:space="preserve">第 </w:t>
    </w:r>
    <w:r>
      <w:rPr>
        <w:rFonts w:ascii="宋体" w:hAnsi="宋体" w:eastAsia="宋体"/>
        <w:color w:val="808080"/>
        <w:sz w:val="18"/>
      </w:rPr>
      <w:fldChar w:fldCharType="begin"/>
    </w:r>
    <w:r>
      <w:rPr>
        <w:rFonts w:ascii="宋体" w:hAnsi="宋体" w:eastAsia="宋体"/>
        <w:color w:val="808080"/>
        <w:sz w:val="18"/>
      </w:rPr>
      <w:instrText xml:space="preserve">PAGE</w:instrText>
    </w:r>
    <w:r>
      <w:rPr>
        <w:rFonts w:ascii="宋体" w:hAnsi="宋体" w:eastAsia="宋体"/>
        <w:color w:val="808080"/>
        <w:sz w:val="18"/>
      </w:rPr>
      <w:fldChar w:fldCharType="end"/>
    </w:r>
    <w:r>
      <w:rPr>
        <w:rFonts w:ascii="宋体" w:hAnsi="宋体" w:eastAsia="宋体"/>
        <w:color w:val="808080"/>
        <w:sz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8806971">
    <w:pPr>
      <w:pStyle w:val="25"/>
      <w:jc w:val="center"/>
    </w:pPr>
    <w:r>
      <w:rPr>
        <w:rFonts w:ascii="宋体" w:hAnsi="宋体" w:eastAsia="宋体"/>
        <w:color w:val="808080"/>
        <w:sz w:val="18"/>
      </w:rPr>
      <w:t>支付宝芭芭农场行业研究报告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Y4YzViNjU0Mzg5NjgxZGM0ZmRlN2Y5ZDI1YmY5OGYifQ=="/>
  </w:docVars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D1D6F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60" w:lineRule="auto"/>
    </w:pPr>
    <w:rPr>
      <w:rFonts w:ascii="宋体" w:hAnsi="宋体" w:eastAsia="宋体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4">
    <w:name w:val="Default Paragraph Font"/>
    <w:semiHidden/>
    <w:unhideWhenUsed/>
    <w:uiPriority w:val="1"/>
  </w:style>
  <w:style w:type="table" w:default="1" w:styleId="3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9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8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6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toc 1"/>
    <w:basedOn w:val="1"/>
    <w:next w:val="1"/>
    <w:semiHidden/>
    <w:unhideWhenUsed/>
    <w:uiPriority w:val="39"/>
  </w:style>
  <w:style w:type="paragraph" w:styleId="27">
    <w:name w:val="Subtitle"/>
    <w:basedOn w:val="1"/>
    <w:next w:val="1"/>
    <w:link w:val="1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8">
    <w:name w:val="List"/>
    <w:basedOn w:val="1"/>
    <w:unhideWhenUsed/>
    <w:uiPriority w:val="99"/>
    <w:pPr>
      <w:ind w:left="360" w:hanging="360"/>
      <w:contextualSpacing/>
    </w:pPr>
  </w:style>
  <w:style w:type="paragraph" w:styleId="29">
    <w:name w:val="toc 2"/>
    <w:basedOn w:val="1"/>
    <w:next w:val="1"/>
    <w:semiHidden/>
    <w:unhideWhenUsed/>
    <w:uiPriority w:val="39"/>
    <w:pPr>
      <w:ind w:left="420" w:leftChars="200"/>
    </w:pPr>
  </w:style>
  <w:style w:type="paragraph" w:styleId="30">
    <w:name w:val="Body Text 2"/>
    <w:basedOn w:val="1"/>
    <w:link w:val="147"/>
    <w:unhideWhenUsed/>
    <w:uiPriority w:val="99"/>
    <w:pPr>
      <w:spacing w:after="120" w:line="480" w:lineRule="auto"/>
    </w:pPr>
  </w:style>
  <w:style w:type="paragraph" w:styleId="31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2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3">
    <w:name w:val="Title"/>
    <w:basedOn w:val="1"/>
    <w:next w:val="1"/>
    <w:link w:val="1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5">
    <w:name w:val="Table Grid"/>
    <w:basedOn w:val="34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6">
    <w:name w:val="Light Shading"/>
    <w:basedOn w:val="34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7">
    <w:name w:val="Light Shading Accent 1"/>
    <w:basedOn w:val="34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8">
    <w:name w:val="Light Shading Accent 2"/>
    <w:basedOn w:val="34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9">
    <w:name w:val="Light Shading Accent 3"/>
    <w:basedOn w:val="34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0">
    <w:name w:val="Light Shading Accent 4"/>
    <w:basedOn w:val="34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1">
    <w:name w:val="Light Shading Accent 5"/>
    <w:basedOn w:val="34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2">
    <w:name w:val="Light Shading Accent 6"/>
    <w:basedOn w:val="34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3">
    <w:name w:val="Light List"/>
    <w:basedOn w:val="34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4">
    <w:name w:val="Light List Accent 1"/>
    <w:basedOn w:val="34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5">
    <w:name w:val="Light List Accent 2"/>
    <w:basedOn w:val="34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6">
    <w:name w:val="Light List Accent 3"/>
    <w:basedOn w:val="34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7">
    <w:name w:val="Light List Accent 4"/>
    <w:basedOn w:val="34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8">
    <w:name w:val="Light List Accent 5"/>
    <w:basedOn w:val="34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9">
    <w:name w:val="Light List Accent 6"/>
    <w:basedOn w:val="34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0">
    <w:name w:val="Light Grid"/>
    <w:basedOn w:val="34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1">
    <w:name w:val="Light Grid Accent 1"/>
    <w:basedOn w:val="34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2">
    <w:name w:val="Light Grid Accent 2"/>
    <w:basedOn w:val="34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3">
    <w:name w:val="Light Grid Accent 3"/>
    <w:basedOn w:val="34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4">
    <w:name w:val="Light Grid Accent 4"/>
    <w:basedOn w:val="34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5">
    <w:name w:val="Light Grid Accent 5"/>
    <w:basedOn w:val="34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6">
    <w:name w:val="Light Grid Accent 6"/>
    <w:basedOn w:val="34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7">
    <w:name w:val="Medium Shading 1"/>
    <w:basedOn w:val="34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1"/>
    <w:basedOn w:val="34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2"/>
    <w:basedOn w:val="34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3"/>
    <w:basedOn w:val="34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4"/>
    <w:basedOn w:val="34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5"/>
    <w:basedOn w:val="34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6"/>
    <w:basedOn w:val="34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2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1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2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3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4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5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6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List 1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2">
    <w:name w:val="Medium List 1 Accent 1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3">
    <w:name w:val="Medium List 1 Accent 2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4">
    <w:name w:val="Medium List 1 Accent 3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5">
    <w:name w:val="Medium List 1 Accent 4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6">
    <w:name w:val="Medium List 1 Accent 5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7">
    <w:name w:val="Medium List 1 Accent 6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8">
    <w:name w:val="Medium List 2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1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2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3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4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5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6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Grid 1"/>
    <w:basedOn w:val="34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6">
    <w:name w:val="Medium Grid 1 Accent 1"/>
    <w:basedOn w:val="34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7">
    <w:name w:val="Medium Grid 1 Accent 2"/>
    <w:basedOn w:val="34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8">
    <w:name w:val="Medium Grid 1 Accent 3"/>
    <w:basedOn w:val="34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9">
    <w:name w:val="Medium Grid 1 Accent 4"/>
    <w:basedOn w:val="34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0">
    <w:name w:val="Medium Grid 1 Accent 5"/>
    <w:basedOn w:val="34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1">
    <w:name w:val="Medium Grid 1 Accent 6"/>
    <w:basedOn w:val="34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2">
    <w:name w:val="Medium Grid 2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1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2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3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4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5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6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3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0">
    <w:name w:val="Medium Grid 3 Accent 1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1">
    <w:name w:val="Medium Grid 3 Accent 2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2">
    <w:name w:val="Medium Grid 3 Accent 3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3">
    <w:name w:val="Medium Grid 3 Accent 4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4">
    <w:name w:val="Medium Grid 3 Accent 5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5">
    <w:name w:val="Medium Grid 3 Accent 6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6">
    <w:name w:val="Dark List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7">
    <w:name w:val="Dark List Accent 1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8">
    <w:name w:val="Dark List Accent 2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9">
    <w:name w:val="Dark List Accent 3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0">
    <w:name w:val="Dark List Accent 4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1">
    <w:name w:val="Dark List Accent 5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2">
    <w:name w:val="Dark List Accent 6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3">
    <w:name w:val="Colorful Shading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1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2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3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7">
    <w:name w:val="Colorful Shading Accent 4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5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6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List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1">
    <w:name w:val="Colorful List Accent 1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2">
    <w:name w:val="Colorful List Accent 2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3">
    <w:name w:val="Colorful List Accent 3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4">
    <w:name w:val="Colorful List Accent 4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5">
    <w:name w:val="Colorful List Accent 5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6">
    <w:name w:val="Colorful List Accent 6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7">
    <w:name w:val="Colorful Grid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8">
    <w:name w:val="Colorful Grid Accent 1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9">
    <w:name w:val="Colorful Grid Accent 2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0">
    <w:name w:val="Colorful Grid Accent 3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1">
    <w:name w:val="Colorful Grid Accent 4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2">
    <w:name w:val="Colorful Grid Accent 5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3">
    <w:name w:val="Colorful Grid Accent 6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5">
    <w:name w:val="Strong"/>
    <w:basedOn w:val="134"/>
    <w:qFormat/>
    <w:uiPriority w:val="22"/>
    <w:rPr>
      <w:b/>
      <w:bCs/>
    </w:rPr>
  </w:style>
  <w:style w:type="character" w:styleId="136">
    <w:name w:val="Emphasis"/>
    <w:basedOn w:val="134"/>
    <w:qFormat/>
    <w:uiPriority w:val="20"/>
    <w:rPr>
      <w:i/>
      <w:iCs/>
    </w:rPr>
  </w:style>
  <w:style w:type="character" w:customStyle="1" w:styleId="137">
    <w:name w:val="Header Char"/>
    <w:basedOn w:val="134"/>
    <w:link w:val="25"/>
    <w:uiPriority w:val="99"/>
  </w:style>
  <w:style w:type="character" w:customStyle="1" w:styleId="138">
    <w:name w:val="Footer Char"/>
    <w:basedOn w:val="134"/>
    <w:link w:val="24"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Heading 1 Char"/>
    <w:basedOn w:val="134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Heading 2 Char"/>
    <w:basedOn w:val="134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Heading 3 Char"/>
    <w:basedOn w:val="134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Title Char"/>
    <w:basedOn w:val="134"/>
    <w:link w:val="33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Subtitle Char"/>
    <w:basedOn w:val="134"/>
    <w:link w:val="27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Body Text Char"/>
    <w:basedOn w:val="134"/>
    <w:link w:val="19"/>
    <w:uiPriority w:val="99"/>
  </w:style>
  <w:style w:type="character" w:customStyle="1" w:styleId="147">
    <w:name w:val="Body Text 2 Char"/>
    <w:basedOn w:val="134"/>
    <w:link w:val="30"/>
    <w:uiPriority w:val="99"/>
  </w:style>
  <w:style w:type="character" w:customStyle="1" w:styleId="148">
    <w:name w:val="Body Text 3 Char"/>
    <w:basedOn w:val="134"/>
    <w:link w:val="17"/>
    <w:uiPriority w:val="99"/>
    <w:rPr>
      <w:sz w:val="16"/>
      <w:szCs w:val="16"/>
    </w:rPr>
  </w:style>
  <w:style w:type="character" w:customStyle="1" w:styleId="149">
    <w:name w:val="Macro Text Char"/>
    <w:basedOn w:val="134"/>
    <w:link w:val="2"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Quote Char"/>
    <w:basedOn w:val="134"/>
    <w:link w:val="150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Heading 4 Char"/>
    <w:basedOn w:val="134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Heading 5 Char"/>
    <w:basedOn w:val="134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Heading 6 Char"/>
    <w:basedOn w:val="134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Heading 7 Char"/>
    <w:basedOn w:val="134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Heading 8 Char"/>
    <w:basedOn w:val="134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Heading 9 Char"/>
    <w:basedOn w:val="134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Intense Quote Char"/>
    <w:basedOn w:val="134"/>
    <w:link w:val="1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"/>
    <w:basedOn w:val="134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"/>
    <w:basedOn w:val="134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"/>
    <w:basedOn w:val="134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"/>
    <w:basedOn w:val="134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"/>
    <w:basedOn w:val="134"/>
    <w:qFormat/>
    <w:uiPriority w:val="33"/>
    <w:rPr>
      <w:b/>
      <w:bCs/>
      <w:smallCaps/>
      <w:spacing w:val="5"/>
    </w:rPr>
  </w:style>
  <w:style w:type="paragraph" w:customStyle="1" w:styleId="165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6388</Words>
  <Characters>6922</Characters>
  <Lines>0</Lines>
  <Paragraphs>0</Paragraphs>
  <TotalTime>1</TotalTime>
  <ScaleCrop>false</ScaleCrop>
  <LinksUpToDate>false</LinksUpToDate>
  <CharactersWithSpaces>7209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.</cp:lastModifiedBy>
  <dcterms:modified xsi:type="dcterms:W3CDTF">2026-08-17T13:54:51Z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26FE00339F3745729891927B0CE48994_12</vt:lpwstr>
  </property>
</Properties>
</file>