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ISEAM </w:t>
      </w:r>
    </w:p>
    <w:p w:rsidR="00000000" w:rsidDel="00000000" w:rsidP="00000000" w:rsidRDefault="00000000" w:rsidRPr="00000000" w14:paraId="0000000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Joe Amadi-Echendu</w:t>
      </w:r>
    </w:p>
    <w:p w:rsidR="00000000" w:rsidDel="00000000" w:rsidP="00000000" w:rsidRDefault="00000000" w:rsidRPr="00000000" w14:paraId="0000000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Pretoria, South Africa</w:t>
      </w:r>
    </w:p>
    <w:p w:rsidR="00000000" w:rsidDel="00000000" w:rsidP="00000000" w:rsidRDefault="00000000" w:rsidRPr="00000000" w14:paraId="00000004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General Chair</w:t>
      </w:r>
    </w:p>
    <w:p w:rsidR="00000000" w:rsidDel="00000000" w:rsidP="00000000" w:rsidRDefault="00000000" w:rsidRPr="00000000" w14:paraId="0000000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International Steering Committee</w:t>
      </w:r>
    </w:p>
    <w:p w:rsidR="00000000" w:rsidDel="00000000" w:rsidP="00000000" w:rsidRDefault="00000000" w:rsidRPr="00000000" w14:paraId="0000000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Jayantha P Liyanage</w:t>
      </w:r>
    </w:p>
    <w:p w:rsidR="00000000" w:rsidDel="00000000" w:rsidP="00000000" w:rsidRDefault="00000000" w:rsidRPr="00000000" w14:paraId="0000000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Stavanger, Norway</w:t>
      </w:r>
    </w:p>
    <w:p w:rsidR="00000000" w:rsidDel="00000000" w:rsidP="00000000" w:rsidRDefault="00000000" w:rsidRPr="00000000" w14:paraId="0000000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Joseph Mathew</w:t>
      </w:r>
    </w:p>
    <w:p w:rsidR="00000000" w:rsidDel="00000000" w:rsidP="00000000" w:rsidRDefault="00000000" w:rsidRPr="00000000" w14:paraId="0000000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Asset Institute, Australia </w:t>
      </w:r>
    </w:p>
    <w:p w:rsidR="00000000" w:rsidDel="00000000" w:rsidP="00000000" w:rsidRDefault="00000000" w:rsidRPr="00000000" w14:paraId="0000000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Nalinaksh S. Vyas</w:t>
      </w:r>
    </w:p>
    <w:p w:rsidR="00000000" w:rsidDel="00000000" w:rsidP="00000000" w:rsidRDefault="00000000" w:rsidRPr="00000000" w14:paraId="0000000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India</w:t>
      </w:r>
    </w:p>
    <w:p w:rsidR="00000000" w:rsidDel="00000000" w:rsidP="00000000" w:rsidRDefault="00000000" w:rsidRPr="00000000" w14:paraId="0000000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Dong Ho Park </w:t>
      </w:r>
    </w:p>
    <w:p w:rsidR="00000000" w:rsidDel="00000000" w:rsidP="00000000" w:rsidRDefault="00000000" w:rsidRPr="00000000" w14:paraId="0000001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Hallym Univ, Korea</w:t>
      </w:r>
    </w:p>
    <w:p w:rsidR="00000000" w:rsidDel="00000000" w:rsidP="00000000" w:rsidRDefault="00000000" w:rsidRPr="00000000" w14:paraId="0000001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Stephan Heyns,</w:t>
      </w:r>
    </w:p>
    <w:p w:rsidR="00000000" w:rsidDel="00000000" w:rsidP="00000000" w:rsidRDefault="00000000" w:rsidRPr="00000000" w14:paraId="0000001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Pretoria, South Africa</w:t>
      </w:r>
    </w:p>
    <w:p w:rsidR="00000000" w:rsidDel="00000000" w:rsidP="00000000" w:rsidRDefault="00000000" w:rsidRPr="00000000" w14:paraId="0000001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V Amirthalingam </w:t>
      </w:r>
    </w:p>
    <w:p w:rsidR="00000000" w:rsidDel="00000000" w:rsidP="00000000" w:rsidRDefault="00000000" w:rsidRPr="00000000" w14:paraId="0000001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Madras, India</w:t>
      </w:r>
    </w:p>
    <w:p w:rsidR="00000000" w:rsidDel="00000000" w:rsidP="00000000" w:rsidRDefault="00000000" w:rsidRPr="00000000" w14:paraId="0000001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Belle R. Upadhyaya</w:t>
      </w:r>
    </w:p>
    <w:p w:rsidR="00000000" w:rsidDel="00000000" w:rsidP="00000000" w:rsidRDefault="00000000" w:rsidRPr="00000000" w14:paraId="0000001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Tennessee, USA</w:t>
      </w:r>
    </w:p>
    <w:p w:rsidR="00000000" w:rsidDel="00000000" w:rsidP="00000000" w:rsidRDefault="00000000" w:rsidRPr="00000000" w14:paraId="0000001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Ir Ype Wijnia</w:t>
      </w:r>
    </w:p>
    <w:p w:rsidR="00000000" w:rsidDel="00000000" w:rsidP="00000000" w:rsidRDefault="00000000" w:rsidRPr="00000000" w14:paraId="0000001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Asset Resolutions, Holland</w:t>
      </w:r>
    </w:p>
    <w:p w:rsidR="00000000" w:rsidDel="00000000" w:rsidP="00000000" w:rsidRDefault="00000000" w:rsidRPr="00000000" w14:paraId="0000001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Tang Loon Ching</w:t>
      </w:r>
    </w:p>
    <w:p w:rsidR="00000000" w:rsidDel="00000000" w:rsidP="00000000" w:rsidRDefault="00000000" w:rsidRPr="00000000" w14:paraId="0000002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National Univ of Singapore</w:t>
      </w:r>
    </w:p>
    <w:p w:rsidR="00000000" w:rsidDel="00000000" w:rsidP="00000000" w:rsidRDefault="00000000" w:rsidRPr="00000000" w14:paraId="0000002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Adolfo Crespo Marquez</w:t>
      </w:r>
    </w:p>
    <w:p w:rsidR="00000000" w:rsidDel="00000000" w:rsidP="00000000" w:rsidRDefault="00000000" w:rsidRPr="00000000" w14:paraId="0000002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Seville, Spain</w:t>
      </w:r>
    </w:p>
    <w:p w:rsidR="00000000" w:rsidDel="00000000" w:rsidP="00000000" w:rsidRDefault="00000000" w:rsidRPr="00000000" w14:paraId="0000002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Amiya R. Mohanty</w:t>
      </w:r>
    </w:p>
    <w:p w:rsidR="00000000" w:rsidDel="00000000" w:rsidP="00000000" w:rsidRDefault="00000000" w:rsidRPr="00000000" w14:paraId="0000002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Kharagpur, India</w:t>
      </w:r>
    </w:p>
    <w:p w:rsidR="00000000" w:rsidDel="00000000" w:rsidP="00000000" w:rsidRDefault="00000000" w:rsidRPr="00000000" w14:paraId="0000002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Sanil Namboodiripad</w:t>
      </w:r>
    </w:p>
    <w:p w:rsidR="00000000" w:rsidDel="00000000" w:rsidP="00000000" w:rsidRDefault="00000000" w:rsidRPr="00000000" w14:paraId="0000002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MD, OTPC, India</w:t>
      </w:r>
    </w:p>
    <w:p w:rsidR="00000000" w:rsidDel="00000000" w:rsidP="00000000" w:rsidRDefault="00000000" w:rsidRPr="00000000" w14:paraId="0000002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16" w:lineRule="auto"/>
        <w:ind w:hanging="126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David Baglee</w:t>
      </w:r>
    </w:p>
    <w:p w:rsidR="00000000" w:rsidDel="00000000" w:rsidP="00000000" w:rsidRDefault="00000000" w:rsidRPr="00000000" w14:paraId="0000002C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Sunderland, UK</w:t>
      </w:r>
    </w:p>
    <w:p w:rsidR="00000000" w:rsidDel="00000000" w:rsidP="00000000" w:rsidRDefault="00000000" w:rsidRPr="00000000" w14:paraId="0000002D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Amy Trappey</w:t>
        <w:br w:type="textWrapping"/>
        <w:t xml:space="preserve">National Tsing Hua University, Taiwan</w:t>
      </w:r>
    </w:p>
    <w:p w:rsidR="00000000" w:rsidDel="00000000" w:rsidP="00000000" w:rsidRDefault="00000000" w:rsidRPr="00000000" w14:paraId="0000002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Organising Committee</w:t>
      </w:r>
    </w:p>
    <w:p w:rsidR="00000000" w:rsidDel="00000000" w:rsidP="00000000" w:rsidRDefault="00000000" w:rsidRPr="00000000" w14:paraId="0000002F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Nalinaksh S. Vyas, </w:t>
      </w:r>
    </w:p>
    <w:p w:rsidR="00000000" w:rsidDel="00000000" w:rsidP="00000000" w:rsidRDefault="00000000" w:rsidRPr="00000000" w14:paraId="00000030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Conference Chair</w:t>
      </w:r>
    </w:p>
    <w:p w:rsidR="00000000" w:rsidDel="00000000" w:rsidP="00000000" w:rsidRDefault="00000000" w:rsidRPr="00000000" w14:paraId="00000031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i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Mr. Sanil C. Namboodiripad, OTPC,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 Co-Chair</w:t>
      </w:r>
    </w:p>
    <w:p w:rsidR="00000000" w:rsidDel="00000000" w:rsidP="00000000" w:rsidRDefault="00000000" w:rsidRPr="00000000" w14:paraId="00000033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J. Ramkumar</w:t>
      </w:r>
    </w:p>
    <w:p w:rsidR="00000000" w:rsidDel="00000000" w:rsidP="00000000" w:rsidRDefault="00000000" w:rsidRPr="00000000" w14:paraId="00000034">
      <w:pPr>
        <w:spacing w:after="12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Kanpur,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Conf Co-Chair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Technical Committee</w:t>
      </w:r>
    </w:p>
    <w:p w:rsidR="00000000" w:rsidDel="00000000" w:rsidP="00000000" w:rsidRDefault="00000000" w:rsidRPr="00000000" w14:paraId="00000037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Amiya R. Mohanty, </w:t>
      </w:r>
    </w:p>
    <w:p w:rsidR="00000000" w:rsidDel="00000000" w:rsidP="00000000" w:rsidRDefault="00000000" w:rsidRPr="00000000" w14:paraId="00000039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Kharagpur,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18"/>
          <w:szCs w:val="18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Anirvan DasGupta, </w:t>
      </w:r>
    </w:p>
    <w:p w:rsidR="00000000" w:rsidDel="00000000" w:rsidP="00000000" w:rsidRDefault="00000000" w:rsidRPr="00000000" w14:paraId="0000003B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IIT Kharagpur</w:t>
      </w:r>
    </w:p>
    <w:p w:rsidR="00000000" w:rsidDel="00000000" w:rsidP="00000000" w:rsidRDefault="00000000" w:rsidRPr="00000000" w14:paraId="0000003C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Sujatha C, IIT Madras</w:t>
      </w:r>
    </w:p>
    <w:p w:rsidR="00000000" w:rsidDel="00000000" w:rsidP="00000000" w:rsidRDefault="00000000" w:rsidRPr="00000000" w14:paraId="0000003D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Adolfo C Márquez, </w:t>
      </w:r>
    </w:p>
    <w:p w:rsidR="00000000" w:rsidDel="00000000" w:rsidP="00000000" w:rsidRDefault="00000000" w:rsidRPr="00000000" w14:paraId="0000003E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Univ of Seville, Spain</w:t>
      </w:r>
    </w:p>
    <w:p w:rsidR="00000000" w:rsidDel="00000000" w:rsidP="00000000" w:rsidRDefault="00000000" w:rsidRPr="00000000" w14:paraId="0000003F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Prof. C. Kothari, IIT Kanpur</w:t>
      </w:r>
    </w:p>
    <w:p w:rsidR="00000000" w:rsidDel="00000000" w:rsidP="00000000" w:rsidRDefault="00000000" w:rsidRPr="00000000" w14:paraId="00000040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16" w:lineRule="auto"/>
        <w:ind w:left="-1267" w:firstLine="7.000000000000028"/>
        <w:jc w:val="right"/>
        <w:rPr/>
      </w:pPr>
      <w:r w:rsidDel="00000000" w:rsidR="00000000" w:rsidRPr="00000000">
        <w:rPr>
          <w:rtl w:val="0"/>
        </w:rPr>
        <w:t xml:space="preserve">          Abstract Number: </w:t>
      </w:r>
      <w:r w:rsidDel="00000000" w:rsidR="00000000" w:rsidRPr="00000000">
        <w:rPr>
          <w:b w:val="1"/>
          <w:rtl w:val="0"/>
        </w:rPr>
        <w:t xml:space="preserve">{{Abstract Number}}</w:t>
        <w:tab/>
      </w:r>
      <w:r w:rsidDel="00000000" w:rsidR="00000000" w:rsidRPr="00000000">
        <w:rPr>
          <w:rtl w:val="0"/>
        </w:rPr>
        <w:tab/>
        <w:tab/>
        <w:tab/>
        <w:t xml:space="preserve">                         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June 2024</w:t>
      </w:r>
    </w:p>
    <w:p w:rsidR="00000000" w:rsidDel="00000000" w:rsidP="00000000" w:rsidRDefault="00000000" w:rsidRPr="00000000" w14:paraId="0000004B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{{Primary Author Name}}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               Thank you for submitting the abstract of your paper for WCEAM-2024 with the following title:</w:t>
      </w:r>
    </w:p>
    <w:p w:rsidR="00000000" w:rsidDel="00000000" w:rsidP="00000000" w:rsidRDefault="00000000" w:rsidRPr="00000000" w14:paraId="00000051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1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Title of the paper</w:t>
      </w:r>
      <w:r w:rsidDel="00000000" w:rsidR="00000000" w:rsidRPr="00000000">
        <w:rPr>
          <w:b w:val="1"/>
          <w:rtl w:val="0"/>
        </w:rPr>
        <w:t xml:space="preserve">: {{Abstract Title}}</w:t>
      </w:r>
    </w:p>
    <w:p w:rsidR="00000000" w:rsidDel="00000000" w:rsidP="00000000" w:rsidRDefault="00000000" w:rsidRPr="00000000" w14:paraId="00000053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The decision of the technical committee on your abstract is: </w:t>
      </w:r>
      <w:r w:rsidDel="00000000" w:rsidR="00000000" w:rsidRPr="00000000">
        <w:rPr>
          <w:b w:val="1"/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  <w:t xml:space="preserve">You can inform the other authors, if any, of the paper of this decision.  You may now submit the camera ready manuscript at the conference website (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https://www.wceam2024.com/</w:t>
        </w:r>
      </w:hyperlink>
      <w:r w:rsidDel="00000000" w:rsidR="00000000" w:rsidRPr="00000000">
        <w:rPr>
          <w:rtl w:val="0"/>
        </w:rPr>
        <w:t xml:space="preserve">) within the due date as per the guidelines. In any correspondence please quote the above Abstract Number.</w:t>
      </w:r>
    </w:p>
    <w:p w:rsidR="00000000" w:rsidDel="00000000" w:rsidP="00000000" w:rsidRDefault="00000000" w:rsidRPr="00000000" w14:paraId="00000057">
      <w:pPr>
        <w:spacing w:after="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59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16" w:lineRule="auto"/>
        <w:rPr/>
      </w:pPr>
      <w:r w:rsidDel="00000000" w:rsidR="00000000" w:rsidRPr="00000000">
        <w:rPr/>
        <w:drawing>
          <wp:inline distB="0" distT="0" distL="0" distR="0">
            <wp:extent cx="1085801" cy="448483"/>
            <wp:effectExtent b="0" l="0" r="0" t="0"/>
            <wp:docPr descr="A blue and white logoDescription automatically generated with low confidence" id="25" name="image1.jpg"/>
            <a:graphic>
              <a:graphicData uri="http://schemas.openxmlformats.org/drawingml/2006/picture">
                <pic:pic>
                  <pic:nvPicPr>
                    <pic:cNvPr descr="A blue and white logoDescription automatically generated with low confidenc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01" cy="44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Prof. Amiya R. Mohanty</w:t>
      </w:r>
    </w:p>
    <w:p w:rsidR="00000000" w:rsidDel="00000000" w:rsidP="00000000" w:rsidRDefault="00000000" w:rsidRPr="00000000" w14:paraId="0000005D">
      <w:pPr>
        <w:spacing w:after="0" w:line="216" w:lineRule="auto"/>
        <w:rPr/>
      </w:pPr>
      <w:r w:rsidDel="00000000" w:rsidR="00000000" w:rsidRPr="00000000">
        <w:rPr>
          <w:rtl w:val="0"/>
        </w:rPr>
        <w:t xml:space="preserve">Chair, Technical Committee</w:t>
      </w:r>
    </w:p>
    <w:p w:rsidR="00000000" w:rsidDel="00000000" w:rsidP="00000000" w:rsidRDefault="00000000" w:rsidRPr="00000000" w14:paraId="0000005E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16" w:lineRule="auto"/>
        <w:ind w:left="-1267" w:firstLine="7.0000000000000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16" w:lineRule="auto"/>
        <w:ind w:left="-1267" w:firstLine="7.000000000000028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16" w:lineRule="auto"/>
        <w:ind w:left="-1267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6838" w:w="11906" w:orient="portrait"/>
      <w:pgMar w:bottom="360" w:top="1440" w:left="1440" w:right="1440" w:header="90" w:footer="708"/>
      <w:pgNumType w:start="1"/>
      <w:cols w:equalWidth="0" w:num="2">
        <w:col w:space="706" w:w="4159.999999999999"/>
        <w:col w:space="0" w:w="4159.999999999999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1170"/>
      <w:jc w:val="center"/>
      <w:rPr>
        <w:rFonts w:ascii="Aptos" w:cs="Aptos" w:eastAsia="Aptos" w:hAnsi="Aptos"/>
        <w:b w:val="1"/>
        <w:i w:val="0"/>
        <w:smallCaps w:val="0"/>
        <w:strike w:val="0"/>
        <w:color w:val="000000"/>
        <w:sz w:val="96"/>
        <w:szCs w:val="9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213202" cy="3466748"/>
          <wp:effectExtent b="0" l="0" r="0" t="0"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3294C"/>
  </w:style>
  <w:style w:type="paragraph" w:styleId="Heading1">
    <w:name w:val="heading 1"/>
    <w:basedOn w:val="Normal"/>
    <w:next w:val="Normal"/>
    <w:link w:val="Heading1Char"/>
    <w:uiPriority w:val="9"/>
    <w:qFormat w:val="1"/>
    <w:rsid w:val="001409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409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4094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409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4094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409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409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409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409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4094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4094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4094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4094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4094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4094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4094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4094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4094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409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09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409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09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409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4094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4094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4094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409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094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40942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 w:val="1"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 w:val="1"/>
    <w:unhideWhenUsed w:val="1"/>
    <w:rsid w:val="006F04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F045B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6083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ceam2024.com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2024-06-03T11:37:00Z</dcterms:created>
  <dc:creator>Sandeep Kumar Karn</dc:creator>
</cp:coreProperties>
</file>