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107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Devaprasad Paul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3D Modelling Of Extra-High Voltage (EHV) Substations: A Comprehensive Approach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avoid figures in the abstract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