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219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Faizan Mahmood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Development Of A Neural Network-Based Framework For Real-Time Crowdsourcing Optimization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