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Shivam Srivastava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Developing Subnational-Scale Resilience Indicators For Targeted Infrastructure Decision-Making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