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Devaprasad Paul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107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3D Modelling Of Extra-High Voltage (EHV) Substations: A Comprehensive Approach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