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Santhosh Kumar M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116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Advancing Rail Transit Reliability Through AI-Driven Predictive Maintenance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