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BE1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7747F47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גבע: 315509174</w:t>
      </w:r>
    </w:p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086192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</w:t>
      </w:r>
      <w:proofErr w:type="gramStart"/>
      <w:r w:rsidR="003E7DD2">
        <w:rPr>
          <w:iCs/>
          <w:sz w:val="24"/>
          <w:szCs w:val="24"/>
        </w:rPr>
        <w:t>&gt;  f</w:t>
      </w:r>
      <w:proofErr w:type="gramEnd"/>
      <w:r w:rsidR="003E7DD2">
        <w:rPr>
          <w:iCs/>
          <w:sz w:val="24"/>
          <w:szCs w:val="24"/>
        </w:rPr>
        <w:t>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086192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</w:t>
      </w:r>
      <w:proofErr w:type="gramStart"/>
      <w:r w:rsidR="00CB6A64">
        <w:rPr>
          <w:iCs/>
          <w:sz w:val="24"/>
          <w:szCs w:val="24"/>
        </w:rPr>
        <w:t>&gt;  f</w:t>
      </w:r>
      <w:proofErr w:type="gramEnd"/>
      <w:r w:rsidR="00CB6A64">
        <w:rPr>
          <w:iCs/>
          <w:sz w:val="24"/>
          <w:szCs w:val="24"/>
        </w:rPr>
        <w:t>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086192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>=</w:t>
      </w:r>
      <w:proofErr w:type="gramStart"/>
      <w:r w:rsidR="004437F1">
        <w:rPr>
          <w:iCs/>
          <w:sz w:val="24"/>
          <w:szCs w:val="24"/>
        </w:rPr>
        <w:t>&gt;  f</w:t>
      </w:r>
      <w:proofErr w:type="gramEnd"/>
      <w:r w:rsidR="004437F1">
        <w:rPr>
          <w:iCs/>
          <w:sz w:val="24"/>
          <w:szCs w:val="24"/>
        </w:rPr>
        <w:t xml:space="preserve">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77777777" w:rsidR="00605626" w:rsidRPr="003E7DD2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688EC205" w14:textId="77777777" w:rsidR="00554F5D" w:rsidRDefault="00554F5D" w:rsidP="00554F5D">
      <w:pPr>
        <w:bidi w:val="0"/>
        <w:jc w:val="right"/>
        <w:rPr>
          <w:b/>
          <w:bCs/>
          <w:rtl/>
        </w:rPr>
      </w:pPr>
      <w:r w:rsidRPr="00554F5D">
        <w:rPr>
          <w:rFonts w:hint="cs"/>
          <w:b/>
          <w:bCs/>
          <w:highlight w:val="yellow"/>
          <w:rtl/>
        </w:rPr>
        <w:t xml:space="preserve">אי שוויון </w:t>
      </w:r>
      <w:proofErr w:type="spellStart"/>
      <w:r w:rsidRPr="00554F5D">
        <w:rPr>
          <w:rFonts w:hint="cs"/>
          <w:b/>
          <w:bCs/>
          <w:highlight w:val="yellow"/>
          <w:rtl/>
        </w:rPr>
        <w:t>המשלוש</w:t>
      </w:r>
      <w:proofErr w:type="spellEnd"/>
      <w:r w:rsidRPr="00554F5D">
        <w:rPr>
          <w:rFonts w:hint="cs"/>
          <w:b/>
          <w:bCs/>
          <w:highlight w:val="yellow"/>
          <w:rtl/>
        </w:rPr>
        <w:t>? דרך הגדרה מס 1</w:t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086192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086192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086192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086192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 xml:space="preserve">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086192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(x)</m:t>
              </m:r>
              <m:r>
                <w:rPr>
                  <w:rFonts w:ascii="Cambria Math" w:eastAsiaTheme="minorEastAsia" w:hAnsi="Cambria Math"/>
                </w:rPr>
                <m:t>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(x)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68161631" w:rsidR="001D2C8B" w:rsidRPr="001D2C8B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 &lt;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(x)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757CB95D" w14:textId="5DEEA962" w:rsidR="007762B2" w:rsidRPr="00EC1DF2" w:rsidRDefault="007762B2" w:rsidP="007762B2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99A4A95" w14:textId="41D364C6" w:rsidR="00EC1DF2" w:rsidRDefault="00EC1DF2" w:rsidP="00EC1DF2">
      <w:pPr>
        <w:bidi w:val="0"/>
        <w:rPr>
          <w:rFonts w:eastAsiaTheme="minorEastAsia"/>
        </w:rPr>
      </w:pPr>
    </w:p>
    <w:p w14:paraId="65CDD8CB" w14:textId="081C20BD" w:rsidR="00EC1DF2" w:rsidRDefault="00EC1DF2" w:rsidP="00EC1DF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</m:t>
          </m:r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0808D34C" w14:textId="559EB47E" w:rsidR="00EC1DF2" w:rsidRDefault="00EC1DF2" w:rsidP="00EC1DF2">
      <w:pPr>
        <w:bidi w:val="0"/>
        <w:rPr>
          <w:rFonts w:eastAsiaTheme="minorEastAsia"/>
        </w:rPr>
      </w:pPr>
    </w:p>
    <w:p w14:paraId="447F3438" w14:textId="5F031824" w:rsidR="00EC1DF2" w:rsidRDefault="00EC1DF2" w:rsidP="00EC1DF2">
      <w:pPr>
        <w:bidi w:val="0"/>
        <w:rPr>
          <w:rFonts w:eastAsiaTheme="minorEastAsia"/>
        </w:rPr>
      </w:pPr>
    </w:p>
    <w:p w14:paraId="14C20814" w14:textId="72BCA96D" w:rsidR="00EC1DF2" w:rsidRDefault="00EC1DF2" w:rsidP="00EC1DF2">
      <w:pPr>
        <w:bidi w:val="0"/>
        <w:rPr>
          <w:rFonts w:eastAsiaTheme="minorEastAsia"/>
        </w:rPr>
      </w:pPr>
    </w:p>
    <w:p w14:paraId="4ABCA359" w14:textId="77777777" w:rsidR="00EC1DF2" w:rsidRPr="007762B2" w:rsidRDefault="00EC1DF2" w:rsidP="00EC1DF2">
      <w:pPr>
        <w:bidi w:val="0"/>
        <w:rPr>
          <w:rFonts w:eastAsiaTheme="minorEastAsia"/>
        </w:rPr>
      </w:pPr>
    </w:p>
    <w:p w14:paraId="15C1A635" w14:textId="189E2DE7" w:rsidR="007762B2" w:rsidRPr="007762B2" w:rsidRDefault="007762B2" w:rsidP="007762B2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עבור</w:t>
      </w:r>
    </w:p>
    <w:p w14:paraId="0A0B7C65" w14:textId="1D7DDBF6" w:rsidR="007762B2" w:rsidRDefault="007762B2" w:rsidP="007762B2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 xml:space="preserve"> a&lt;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01468679" w14:textId="028986D3" w:rsidR="008E41FC" w:rsidRPr="00B320AA" w:rsidRDefault="008E41FC" w:rsidP="008E41FC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45F769F4" w14:textId="7DB378D2" w:rsidR="00403582" w:rsidRPr="00515487" w:rsidRDefault="00403582" w:rsidP="00403582">
      <w:pPr>
        <w:bidi w:val="0"/>
        <w:rPr>
          <w:rFonts w:eastAsiaTheme="minorEastAsia"/>
          <w:color w:val="FF0000"/>
        </w:rPr>
      </w:pPr>
      <w:r w:rsidRPr="00515487">
        <w:rPr>
          <w:rFonts w:eastAsiaTheme="minorEastAsia"/>
          <w:color w:val="FF0000"/>
        </w:rPr>
        <w:t>=&gt;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≥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 &lt;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∇</m:t>
        </m:r>
        <m:r>
          <w:rPr>
            <w:rFonts w:ascii="Cambria Math" w:eastAsiaTheme="minorEastAsia" w:hAnsi="Cambria Math"/>
            <w:color w:val="FF0000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y-x</m:t>
            </m:r>
          </m:e>
        </m:d>
        <m:r>
          <w:rPr>
            <w:rFonts w:ascii="Cambria Math" w:eastAsiaTheme="minorEastAsia" w:hAnsi="Cambria Math"/>
            <w:color w:val="FF0000"/>
          </w:rPr>
          <m:t>&gt;</m:t>
        </m:r>
      </m:oMath>
    </w:p>
    <w:p w14:paraId="18404AA7" w14:textId="48634026" w:rsidR="007762B2" w:rsidRDefault="007762B2" w:rsidP="00233471">
      <w:pPr>
        <w:bidi w:val="0"/>
        <w:rPr>
          <w:rFonts w:eastAsiaTheme="minorEastAsia"/>
        </w:rPr>
      </w:pPr>
    </w:p>
    <w:p w14:paraId="55B4A60C" w14:textId="77777777" w:rsidR="00B320AA" w:rsidRDefault="00B320AA" w:rsidP="00B320AA">
      <w:pPr>
        <w:bidi w:val="0"/>
        <w:rPr>
          <w:rFonts w:eastAsiaTheme="minorEastAsia"/>
        </w:rPr>
      </w:pPr>
    </w:p>
    <w:p w14:paraId="34256AFA" w14:textId="77777777" w:rsidR="00B5038C" w:rsidRDefault="00B5038C" w:rsidP="00B5038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 xml:space="preserve">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1A85CEB1" w14:textId="77777777" w:rsidR="00B5038C" w:rsidRPr="0054778C" w:rsidRDefault="00B5038C" w:rsidP="00B5038C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A5715EC" w14:textId="15B2E437" w:rsidR="00B5038C" w:rsidRPr="00EB52D8" w:rsidRDefault="00086192" w:rsidP="00B5038C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f,a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&gt;</m:t>
              </m:r>
            </m:e>
          </m:func>
        </m:oMath>
      </m:oMathPara>
    </w:p>
    <w:p w14:paraId="0AE9D32C" w14:textId="194B837E" w:rsidR="00EB52D8" w:rsidRPr="00EB52D8" w:rsidRDefault="00EB52D8" w:rsidP="00EB52D8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האם אפשר לכתוב שיש שוויון?</w:t>
      </w:r>
    </w:p>
    <w:p w14:paraId="19ABD785" w14:textId="00F277AC" w:rsidR="00EB52D8" w:rsidRPr="00E46957" w:rsidRDefault="00086192" w:rsidP="00EB52D8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x+ε</m:t>
                      </m:r>
                    </m:e>
                  </m:d>
                </m:e>
              </m:eqAr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x+(a(y-x)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f,a(y-x)&gt;</m:t>
              </m:r>
            </m:e>
          </m:func>
        </m:oMath>
      </m:oMathPara>
    </w:p>
    <w:p w14:paraId="7D4D8497" w14:textId="3F15B8E0" w:rsidR="00B320AA" w:rsidRPr="00515487" w:rsidRDefault="00515487" w:rsidP="00AA4CA5">
      <w:pPr>
        <w:bidi w:val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r>
            <w:rPr>
              <w:rFonts w:ascii="Cambria Math" w:eastAsiaTheme="minorEastAsia" w:hAnsi="Cambria Math"/>
              <w:color w:val="4472C4" w:themeColor="accent1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x+a(y-x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+a(f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6FE0BCD" w14:textId="77777777" w:rsidR="00B320AA" w:rsidRDefault="00B320AA" w:rsidP="00B320AA">
      <w:pPr>
        <w:bidi w:val="0"/>
        <w:rPr>
          <w:rFonts w:eastAsiaTheme="minorEastAsia"/>
        </w:rPr>
      </w:pPr>
    </w:p>
    <w:p w14:paraId="1F6E2DC8" w14:textId="21E48639" w:rsidR="000771C8" w:rsidRPr="00B320AA" w:rsidRDefault="00AA4CA5" w:rsidP="00B320AA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5AC9D7C1" w14:textId="77777777" w:rsidR="00AA4CA5" w:rsidRPr="00B66840" w:rsidRDefault="00AA4CA5" w:rsidP="00AA4CA5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5E2E2EB0" w14:textId="5A583CEF" w:rsidR="000771C8" w:rsidRPr="00B66840" w:rsidRDefault="000771C8" w:rsidP="000771C8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7DEB336D" w14:textId="3B76AA7A" w:rsidR="00511FEC" w:rsidRPr="000771C8" w:rsidRDefault="000771C8" w:rsidP="000771C8">
      <w:pPr>
        <w:bidi w:val="0"/>
        <w:jc w:val="center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 w:rsidRPr="000771C8">
        <w:rPr>
          <w:rFonts w:eastAsiaTheme="minorEastAsia"/>
          <w:b/>
          <w:bCs/>
          <w:iCs/>
        </w:rPr>
        <w:br w:type="page"/>
      </w:r>
    </w:p>
    <w:p w14:paraId="3B855F08" w14:textId="383254C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14:paraId="2BEED83F" w14:textId="77777777" w:rsidR="00511FEC" w:rsidRPr="00511FEC" w:rsidRDefault="00511FEC" w:rsidP="00511FEC">
      <w:pPr>
        <w:bidi w:val="0"/>
        <w:rPr>
          <w:rFonts w:eastAsiaTheme="minorEastAsia"/>
        </w:rPr>
      </w:pPr>
    </w:p>
    <w:p w14:paraId="49B97F9C" w14:textId="6C614D53" w:rsidR="00511FEC" w:rsidRDefault="00511FEC" w:rsidP="00511FEC">
      <w:pPr>
        <w:bidi w:val="0"/>
        <w:rPr>
          <w:rFonts w:eastAsiaTheme="minorEastAsia"/>
          <w:b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771C8"/>
    <w:rsid w:val="00086192"/>
    <w:rsid w:val="000B5DBB"/>
    <w:rsid w:val="001D2C8B"/>
    <w:rsid w:val="00215121"/>
    <w:rsid w:val="00233471"/>
    <w:rsid w:val="00285C02"/>
    <w:rsid w:val="003E7DD2"/>
    <w:rsid w:val="00403582"/>
    <w:rsid w:val="004437F1"/>
    <w:rsid w:val="00492A3F"/>
    <w:rsid w:val="004D7DA6"/>
    <w:rsid w:val="00511FEC"/>
    <w:rsid w:val="00515487"/>
    <w:rsid w:val="0054778C"/>
    <w:rsid w:val="00554F5D"/>
    <w:rsid w:val="005B74AE"/>
    <w:rsid w:val="005D185E"/>
    <w:rsid w:val="005D2BF8"/>
    <w:rsid w:val="00602022"/>
    <w:rsid w:val="00605626"/>
    <w:rsid w:val="007160A4"/>
    <w:rsid w:val="00722137"/>
    <w:rsid w:val="00723111"/>
    <w:rsid w:val="0073291A"/>
    <w:rsid w:val="007762B2"/>
    <w:rsid w:val="00854D75"/>
    <w:rsid w:val="008E41FC"/>
    <w:rsid w:val="00AA4CA5"/>
    <w:rsid w:val="00AF7BD8"/>
    <w:rsid w:val="00B05A6A"/>
    <w:rsid w:val="00B22E0C"/>
    <w:rsid w:val="00B320AA"/>
    <w:rsid w:val="00B5038C"/>
    <w:rsid w:val="00B56135"/>
    <w:rsid w:val="00B66840"/>
    <w:rsid w:val="00B761E7"/>
    <w:rsid w:val="00C24094"/>
    <w:rsid w:val="00C243DB"/>
    <w:rsid w:val="00C3743E"/>
    <w:rsid w:val="00C506E5"/>
    <w:rsid w:val="00CB6A64"/>
    <w:rsid w:val="00D00AEC"/>
    <w:rsid w:val="00D03FA3"/>
    <w:rsid w:val="00D06F37"/>
    <w:rsid w:val="00DB3C26"/>
    <w:rsid w:val="00DF00F1"/>
    <w:rsid w:val="00DF452B"/>
    <w:rsid w:val="00E46957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600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2020-05-07T10:29:00Z</dcterms:created>
  <dcterms:modified xsi:type="dcterms:W3CDTF">2020-05-11T10:00:00Z</dcterms:modified>
</cp:coreProperties>
</file>