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Benign Report 12</w:t>
      </w:r>
    </w:p>
    <w:p>
      <w:r>
        <w:t>This file contains standard XML structure.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Safe</w:t>
            </w:r>
          </w:p>
        </w:tc>
        <w:tc>
          <w:tcPr>
            <w:tcW w:type="dxa" w:w="4320"/>
          </w:tcPr>
          <w:p/>
        </w:tc>
      </w:tr>
      <w:tr>
        <w:tc>
          <w:tcPr>
            <w:tcW w:type="dxa" w:w="4320"/>
          </w:tcPr>
          <w:p/>
        </w:tc>
        <w:tc>
          <w:tcPr>
            <w:tcW w:type="dxa" w:w="4320"/>
          </w:tcPr>
          <w:p>
            <w:r>
              <w:t>Data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