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HIGH-LEVEL DESIGN (HLD) DOCUMENT</w:t>
      </w:r>
    </w:p>
    <w:p>
      <w:pPr>
        <w:pStyle w:val="Normal"/>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Project: CleanAir — Intelligent AC Vent Fan Controller</w:t>
      </w:r>
    </w:p>
    <w:p>
      <w:pPr>
        <w:pStyle w:val="Normal"/>
        <w:bidi w:val="0"/>
        <w:spacing w:before="0" w:after="0"/>
        <w:ind w:left="0" w:right="0" w:hanging="0"/>
        <w:jc w:val="left"/>
        <w:rPr/>
      </w:pPr>
      <w:r>
        <w:rPr>
          <w:rStyle w:val="Strong"/>
          <w:rFonts w:ascii="Google Sans;sans-serif" w:hAnsi="Google Sans;sans-serif"/>
          <w:b/>
          <w:strike w:val="false"/>
          <w:dstrike w:val="false"/>
          <w:sz w:val="24"/>
          <w:u w:val="none"/>
          <w:effect w:val="none"/>
        </w:rPr>
        <w:t>Target Hardware:</w:t>
      </w:r>
      <w:r>
        <w:rPr>
          <w:rFonts w:ascii="Google Sans;sans-serif" w:hAnsi="Google Sans;sans-serif"/>
          <w:b w:val="false"/>
          <w:strike w:val="false"/>
          <w:dstrike w:val="false"/>
          <w:sz w:val="24"/>
          <w:u w:val="none"/>
          <w:effect w:val="none"/>
        </w:rPr>
        <w:t xml:space="preserve"> STM32F446RE (Nucleo-64)</w:t>
        <w:br/>
      </w:r>
      <w:r>
        <w:rPr>
          <w:rStyle w:val="Strong"/>
          <w:rFonts w:ascii="Google Sans;sans-serif" w:hAnsi="Google Sans;sans-serif"/>
          <w:b/>
          <w:strike w:val="false"/>
          <w:dstrike w:val="false"/>
          <w:sz w:val="24"/>
          <w:u w:val="none"/>
          <w:effect w:val="none"/>
        </w:rPr>
        <w:t>Operating System:</w:t>
      </w:r>
      <w:r>
        <w:rPr>
          <w:rFonts w:ascii="Google Sans;sans-serif" w:hAnsi="Google Sans;sans-serif"/>
          <w:b w:val="false"/>
          <w:strike w:val="false"/>
          <w:dstrike w:val="false"/>
          <w:sz w:val="24"/>
          <w:u w:val="none"/>
          <w:effect w:val="none"/>
        </w:rPr>
        <w:t xml:space="preserve"> FreeRTOS</w:t>
      </w:r>
    </w:p>
    <w:p>
      <w:pPr>
        <w:pStyle w:val="HorizontalLine"/>
        <w:suppressLineNumbers/>
        <w:pBdr>
          <w:bottom w:val="double" w:sz="2" w:space="0" w:color="808080"/>
        </w:pBdr>
        <w:bidi w:val="0"/>
        <w:spacing w:before="0" w:after="283"/>
        <w:jc w:val="left"/>
        <w:rPr/>
      </w:pPr>
      <w:r>
        <w:rPr/>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1. Document Overview</w:t>
      </w:r>
    </w:p>
    <w:p>
      <w:pPr>
        <w:pStyle w:val="TextBody"/>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This High-Level Design (HLD) document describes the architecture, software layout, and operational logic of the CleanAir environmental control system. The system monitors ambient air particulates and shielded hazardous electrode gases, dynamically regulating an industrial AC ventilation fan using a solid-state TRIAC interface.</w:t>
      </w:r>
    </w:p>
    <w:p>
      <w:pPr>
        <w:pStyle w:val="HorizontalLine"/>
        <w:suppressLineNumbers/>
        <w:pBdr>
          <w:bottom w:val="double" w:sz="2" w:space="0" w:color="808080"/>
        </w:pBdr>
        <w:bidi w:val="0"/>
        <w:spacing w:before="0" w:after="283"/>
        <w:jc w:val="left"/>
        <w:rPr/>
      </w:pPr>
      <w:r>
        <w:rPr/>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2. System Architecture &amp; Physical Deployment</w:t>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2.1 Environmental Zoning &amp; Isolation Matrix</w:t>
      </w:r>
    </w:p>
    <w:p>
      <w:pPr>
        <w:pStyle w:val="TextBody"/>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The system employs a dual-zone sampling architecture to isolate sensitive gas-sensing elements from destructive particulate contamination while maintaining accurate ambient monitoring.</w:t>
      </w:r>
    </w:p>
    <w:p>
      <w:pPr>
        <w:pStyle w:val="PreformattedText"/>
        <w:bidi w:val="0"/>
        <w:spacing w:before="0" w:after="0"/>
        <w:ind w:left="0" w:right="0" w:hanging="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bidi w:val="0"/>
        <w:spacing w:before="0" w:after="0"/>
        <w:rPr/>
      </w:pPr>
      <w:r>
        <w:rPr/>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Ambient Air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bidi w:val="0"/>
        <w:spacing w:before="0" w:after="0"/>
        <w:rPr/>
      </w:pPr>
      <w:r>
        <w:rPr/>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v                               v</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Open Air Processing Zone ]    [ 3-Meter Physical Pipeline ]</w:t>
      </w:r>
    </w:p>
    <w:p>
      <w:pPr>
        <w:pStyle w:val="PreformattedText"/>
        <w:bidi w:val="0"/>
        <w:spacing w:before="0" w:after="0"/>
        <w:rPr/>
      </w:pPr>
      <w:r>
        <w:rPr/>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v                               v</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[ 3M 2091 P100 Particulate Filter ]</w:t>
      </w:r>
    </w:p>
    <w:p>
      <w:pPr>
        <w:pStyle w:val="PreformattedText"/>
        <w:bidi w:val="0"/>
        <w:spacing w:before="0" w:after="0"/>
        <w:rPr/>
      </w:pPr>
      <w:r>
        <w:rPr/>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SPS30 Sensor Element  |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v</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Dedicated Intake Fan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v</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bidi w:val="0"/>
        <w:spacing w:before="0" w:after="0"/>
        <w:rPr/>
      </w:pPr>
      <w:r>
        <w:rPr/>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Shielded Gas Chamber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 MQ131  - MiCS-4514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 BME680 (BSEC2 Logic)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TextBody"/>
        <w:numPr>
          <w:ilvl w:val="0"/>
          <w:numId w:val="1"/>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Ambient Air Zone:</w:t>
      </w:r>
      <w:r>
        <w:rPr>
          <w:rFonts w:ascii="Google Sans;sans-serif" w:hAnsi="Google Sans;sans-serif"/>
          <w:b w:val="false"/>
          <w:strike w:val="false"/>
          <w:dstrike w:val="false"/>
          <w:sz w:val="24"/>
          <w:u w:val="none"/>
          <w:effect w:val="none"/>
        </w:rPr>
        <w:t xml:space="preserve"> The SPS30 sensor sits in raw, unshielded air to immediately capture environmental particulate matter (PM2.5 and PM10) before any filtration occurs.</w:t>
      </w:r>
    </w:p>
    <w:p>
      <w:pPr>
        <w:pStyle w:val="TextBody"/>
        <w:numPr>
          <w:ilvl w:val="0"/>
          <w:numId w:val="1"/>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Shielded Gas Chamber:</w:t>
      </w:r>
      <w:r>
        <w:rPr>
          <w:rFonts w:ascii="Google Sans;sans-serif" w:hAnsi="Google Sans;sans-serif"/>
          <w:b w:val="false"/>
          <w:strike w:val="false"/>
          <w:dstrike w:val="false"/>
          <w:sz w:val="24"/>
          <w:u w:val="none"/>
          <w:effect w:val="none"/>
        </w:rPr>
        <w:t xml:space="preserve"> The MQ131, MiCS-4514, and BME680 sensors are housed inside an isolated testing volume. Air is pulled through a 3-meter tube by an active intake fan and passed through a 3M 2091 P100 filter. This filter captures 99.97% of airborne dust and metallic electrode debris, letting only clean target gases pass over the metal-oxide elements.</w:t>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2.2 System Power Architecture</w:t>
      </w:r>
    </w:p>
    <w:p>
      <w:pPr>
        <w:pStyle w:val="TextBody"/>
        <w:numPr>
          <w:ilvl w:val="0"/>
          <w:numId w:val="2"/>
        </w:numPr>
        <w:tabs>
          <w:tab w:val="clear" w:pos="709"/>
          <w:tab w:val="left" w:pos="0" w:leader="none"/>
        </w:tabs>
        <w:bidi w:val="0"/>
        <w:spacing w:before="0" w:after="0"/>
        <w:ind w:left="0" w:right="0" w:hanging="283"/>
        <w:rPr/>
      </w:pPr>
      <w:r>
        <w:rPr>
          <w:rStyle w:val="Strong"/>
          <w:rFonts w:ascii="Google Sans;sans-serif" w:hAnsi="Google Sans;sans-serif"/>
          <w:b/>
          <w:strike w:val="false"/>
          <w:dstrike w:val="false"/>
          <w:sz w:val="24"/>
          <w:u w:val="none"/>
          <w:effect w:val="none"/>
        </w:rPr>
        <w:t>Microcontroller &amp; Sensors:</w:t>
      </w:r>
      <w:r>
        <w:rPr>
          <w:rFonts w:ascii="Google Sans;sans-serif" w:hAnsi="Google Sans;sans-serif"/>
          <w:b w:val="false"/>
          <w:strike w:val="false"/>
          <w:dstrike w:val="false"/>
          <w:sz w:val="24"/>
          <w:u w:val="none"/>
          <w:effect w:val="none"/>
        </w:rPr>
        <w:t xml:space="preserve"> Powered by an external, regulated 5V power supply wired directly to the Nucleo’s </w:t>
      </w:r>
      <w:r>
        <w:rPr>
          <w:rStyle w:val="SourceText"/>
          <w:rFonts w:ascii="monospace" w:hAnsi="monospace"/>
          <w:b w:val="false"/>
          <w:strike w:val="false"/>
          <w:dstrike w:val="false"/>
          <w:sz w:val="21"/>
          <w:u w:val="none"/>
          <w:effect w:val="none"/>
          <w:bdr w:val="single" w:sz="2" w:space="1" w:color="2C2E35"/>
        </w:rPr>
        <w:t>E5V</w:t>
      </w:r>
      <w:r>
        <w:rPr>
          <w:rFonts w:ascii="Google Sans;sans-serif" w:hAnsi="Google Sans;sans-serif"/>
          <w:b w:val="false"/>
          <w:strike w:val="false"/>
          <w:dstrike w:val="false"/>
          <w:sz w:val="24"/>
          <w:u w:val="none"/>
          <w:effect w:val="none"/>
        </w:rPr>
        <w:t xml:space="preserve"> input pin. The onboard power selection jumper (</w:t>
      </w:r>
      <w:r>
        <w:rPr>
          <w:rStyle w:val="SourceText"/>
          <w:rFonts w:ascii="monospace" w:hAnsi="monospace"/>
          <w:b w:val="false"/>
          <w:strike w:val="false"/>
          <w:dstrike w:val="false"/>
          <w:sz w:val="21"/>
          <w:u w:val="none"/>
          <w:effect w:val="none"/>
          <w:bdr w:val="single" w:sz="2" w:space="1" w:color="2C2E35"/>
        </w:rPr>
        <w:t>JP5</w:t>
      </w:r>
      <w:r>
        <w:rPr>
          <w:rFonts w:ascii="Google Sans;sans-serif" w:hAnsi="Google Sans;sans-serif"/>
          <w:b w:val="false"/>
          <w:strike w:val="false"/>
          <w:dstrike w:val="false"/>
          <w:sz w:val="24"/>
          <w:u w:val="none"/>
          <w:effect w:val="none"/>
        </w:rPr>
        <w:t xml:space="preserve">) must be set to the </w:t>
      </w:r>
      <w:r>
        <w:rPr>
          <w:rStyle w:val="SourceText"/>
          <w:rFonts w:ascii="monospace" w:hAnsi="monospace"/>
          <w:b w:val="false"/>
          <w:strike w:val="false"/>
          <w:dstrike w:val="false"/>
          <w:sz w:val="21"/>
          <w:u w:val="none"/>
          <w:effect w:val="none"/>
          <w:bdr w:val="single" w:sz="2" w:space="1" w:color="2C2E35"/>
        </w:rPr>
        <w:t>E5V</w:t>
      </w:r>
      <w:r>
        <w:rPr>
          <w:rFonts w:ascii="Google Sans;sans-serif" w:hAnsi="Google Sans;sans-serif"/>
          <w:b w:val="false"/>
          <w:strike w:val="false"/>
          <w:dstrike w:val="false"/>
          <w:sz w:val="24"/>
          <w:u w:val="none"/>
          <w:effect w:val="none"/>
        </w:rPr>
        <w:t xml:space="preserve"> position.</w:t>
      </w:r>
    </w:p>
    <w:p>
      <w:pPr>
        <w:pStyle w:val="TextBody"/>
        <w:numPr>
          <w:ilvl w:val="0"/>
          <w:numId w:val="2"/>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Sensor Heating &amp; Isolation:</w:t>
      </w:r>
      <w:r>
        <w:rPr>
          <w:rFonts w:ascii="Google Sans;sans-serif" w:hAnsi="Google Sans;sans-serif"/>
          <w:b w:val="false"/>
          <w:strike w:val="false"/>
          <w:dstrike w:val="false"/>
          <w:sz w:val="24"/>
          <w:u w:val="none"/>
          <w:effect w:val="none"/>
        </w:rPr>
        <w:t xml:space="preserve"> The internal 5V heaters for the MQ131 and MiCS-4514 sensors run directly from the external 5V supply line to prevent electrical noise from disturbing the STM32's internal analog rails.</w:t>
      </w:r>
    </w:p>
    <w:p>
      <w:pPr>
        <w:pStyle w:val="TextBody"/>
        <w:numPr>
          <w:ilvl w:val="0"/>
          <w:numId w:val="2"/>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Logic Level Integrity:</w:t>
      </w:r>
      <w:r>
        <w:rPr>
          <w:rFonts w:ascii="Google Sans;sans-serif" w:hAnsi="Google Sans;sans-serif"/>
          <w:b w:val="false"/>
          <w:strike w:val="false"/>
          <w:dstrike w:val="false"/>
          <w:sz w:val="24"/>
          <w:u w:val="none"/>
          <w:effect w:val="none"/>
        </w:rPr>
        <w:t xml:space="preserve"> The I²C2 bus uses 4.7 kΩ pull-up resistors tied exclusively to the Nucleo’s 3.3V rail. Analog outputs from 5V sensor circuits pass through hardware voltage dividers to safely drop signals below the 3.3V maximum analog input threshold.</w:t>
      </w:r>
    </w:p>
    <w:p>
      <w:pPr>
        <w:pStyle w:val="HorizontalLine"/>
        <w:bidi w:val="0"/>
        <w:jc w:val="left"/>
        <w:rPr/>
      </w:pPr>
      <w:r>
        <w:rPr/>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3. Target Gases &amp; Environmental Indices</w:t>
      </w:r>
    </w:p>
    <w:p>
      <w:pPr>
        <w:pStyle w:val="TextBody"/>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This system targets the specific physical and chemical byproducts generated during industrial welding, EDM (Electrical Discharge Machining), and plasma electrode processes.</w:t>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3.1 Sensor Target Matrix &amp; Application Coverage</w:t>
      </w:r>
    </w:p>
    <w:p>
      <w:pPr>
        <w:pStyle w:val="TextBody"/>
        <w:numPr>
          <w:ilvl w:val="0"/>
          <w:numId w:val="3"/>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SPS30 (Particulate Matter Sensor)</w:t>
      </w:r>
    </w:p>
    <w:p>
      <w:pPr>
        <w:pStyle w:val="TextBody"/>
        <w:numPr>
          <w:ilvl w:val="1"/>
          <w:numId w:val="3"/>
        </w:numP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Target Media:</w:t>
      </w:r>
      <w:r>
        <w:rPr>
          <w:rFonts w:ascii="Google Sans;sans-serif" w:hAnsi="Google Sans;sans-serif"/>
          <w:b w:val="false"/>
          <w:strike w:val="false"/>
          <w:dstrike w:val="false"/>
          <w:sz w:val="24"/>
          <w:u w:val="none"/>
          <w:effect w:val="none"/>
        </w:rPr>
        <w:t xml:space="preserve"> Mass concentrations of PM1.0, PM2.5, PM4.0, and PM10.</w:t>
      </w:r>
    </w:p>
    <w:p>
      <w:pPr>
        <w:pStyle w:val="TextBody"/>
        <w:numPr>
          <w:ilvl w:val="1"/>
          <w:numId w:val="3"/>
        </w:numP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Electrode Application:</w:t>
      </w:r>
      <w:r>
        <w:rPr>
          <w:rFonts w:ascii="Google Sans;sans-serif" w:hAnsi="Google Sans;sans-serif"/>
          <w:b w:val="false"/>
          <w:strike w:val="false"/>
          <w:dstrike w:val="false"/>
          <w:sz w:val="24"/>
          <w:u w:val="none"/>
          <w:effect w:val="none"/>
        </w:rPr>
        <w:t xml:space="preserve"> Captures heavy metallic fumes, hexavalent chromium particulates, manganese dust, and airborne ash shedding from vaporized electrodes before they choke downstream filters. [</w:t>
      </w:r>
      <w:hyperlink r:id="rId2">
        <w:r>
          <w:rPr>
            <w:rStyle w:val="InternetLink"/>
            <w:rFonts w:ascii="Google Sans;sans-serif" w:hAnsi="Google Sans;sans-serif"/>
            <w:b w:val="false"/>
            <w:strike w:val="false"/>
            <w:dstrike w:val="false"/>
            <w:sz w:val="24"/>
            <w:u w:val="none"/>
            <w:effect w:val="none"/>
          </w:rPr>
          <w:t>1</w:t>
        </w:r>
      </w:hyperlink>
      <w:r>
        <w:rPr>
          <w:rFonts w:ascii="Google Sans;sans-serif" w:hAnsi="Google Sans;sans-serif"/>
          <w:b w:val="false"/>
          <w:strike w:val="false"/>
          <w:dstrike w:val="false"/>
          <w:sz w:val="24"/>
          <w:u w:val="none"/>
          <w:effect w:val="none"/>
        </w:rPr>
        <w:t>]</w:t>
      </w:r>
    </w:p>
    <w:p>
      <w:pPr>
        <w:pStyle w:val="TextBody"/>
        <w:numPr>
          <w:ilvl w:val="0"/>
          <w:numId w:val="3"/>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MQ131 (Ozone Gas Sensor)</w:t>
      </w:r>
    </w:p>
    <w:p>
      <w:pPr>
        <w:pStyle w:val="TextBody"/>
        <w:numPr>
          <w:ilvl w:val="1"/>
          <w:numId w:val="3"/>
        </w:numP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Target Media:</w:t>
      </w:r>
      <w:r>
        <w:rPr>
          <w:rFonts w:ascii="Google Sans;sans-serif" w:hAnsi="Google Sans;sans-serif"/>
          <w:b w:val="false"/>
          <w:strike w:val="false"/>
          <w:dstrike w:val="false"/>
          <w:sz w:val="24"/>
          <w:u w:val="none"/>
          <w:effect w:val="none"/>
        </w:rPr>
        <w:t xml:space="preserve"> Ozone (\(O_{3}\)) gas concentrations (low/high concentration variants).</w:t>
      </w:r>
    </w:p>
    <w:p>
      <w:pPr>
        <w:pStyle w:val="TextBody"/>
        <w:numPr>
          <w:ilvl w:val="1"/>
          <w:numId w:val="3"/>
        </w:numP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Electrode Application:</w:t>
      </w:r>
      <w:r>
        <w:rPr>
          <w:rFonts w:ascii="Google Sans;sans-serif" w:hAnsi="Google Sans;sans-serif"/>
          <w:b w:val="false"/>
          <w:strike w:val="false"/>
          <w:dstrike w:val="false"/>
          <w:sz w:val="24"/>
          <w:u w:val="none"/>
          <w:effect w:val="none"/>
        </w:rPr>
        <w:t xml:space="preserve"> Detects high-concentration \(O_{3}\) produced by intense ultraviolet (UV) radiation from open electric arcs ionizing ambient oxygen molecules. [</w:t>
      </w:r>
      <w:hyperlink r:id="rId3">
        <w:r>
          <w:rPr>
            <w:rStyle w:val="InternetLink"/>
            <w:rFonts w:ascii="Google Sans;sans-serif" w:hAnsi="Google Sans;sans-serif"/>
            <w:b w:val="false"/>
            <w:strike w:val="false"/>
            <w:dstrike w:val="false"/>
            <w:sz w:val="24"/>
            <w:u w:val="none"/>
            <w:effect w:val="none"/>
          </w:rPr>
          <w:t>1</w:t>
        </w:r>
      </w:hyperlink>
      <w:r>
        <w:rPr>
          <w:rFonts w:ascii="Google Sans;sans-serif" w:hAnsi="Google Sans;sans-serif"/>
          <w:b w:val="false"/>
          <w:strike w:val="false"/>
          <w:dstrike w:val="false"/>
          <w:sz w:val="24"/>
          <w:u w:val="none"/>
          <w:effect w:val="none"/>
        </w:rPr>
        <w:t xml:space="preserve">, </w:t>
      </w:r>
      <w:hyperlink r:id="rId4">
        <w:r>
          <w:rPr>
            <w:rStyle w:val="InternetLink"/>
            <w:rFonts w:ascii="Google Sans;sans-serif" w:hAnsi="Google Sans;sans-serif"/>
            <w:b w:val="false"/>
            <w:strike w:val="false"/>
            <w:dstrike w:val="false"/>
            <w:sz w:val="24"/>
            <w:u w:val="none"/>
            <w:effect w:val="none"/>
          </w:rPr>
          <w:t>2</w:t>
        </w:r>
      </w:hyperlink>
      <w:r>
        <w:rPr>
          <w:rFonts w:ascii="Google Sans;sans-serif" w:hAnsi="Google Sans;sans-serif"/>
          <w:b w:val="false"/>
          <w:strike w:val="false"/>
          <w:dstrike w:val="false"/>
          <w:sz w:val="24"/>
          <w:u w:val="none"/>
          <w:effect w:val="none"/>
        </w:rPr>
        <w:t>]</w:t>
      </w:r>
    </w:p>
    <w:p>
      <w:pPr>
        <w:pStyle w:val="TextBody"/>
        <w:numPr>
          <w:ilvl w:val="0"/>
          <w:numId w:val="3"/>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MiCS-4514 (Dual Metal-Oxide Sensor Channel)</w:t>
      </w:r>
    </w:p>
    <w:p>
      <w:pPr>
        <w:pStyle w:val="TextBody"/>
        <w:numPr>
          <w:ilvl w:val="1"/>
          <w:numId w:val="3"/>
        </w:numP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Target Media (CO Channel):</w:t>
      </w:r>
      <w:r>
        <w:rPr>
          <w:rFonts w:ascii="Google Sans;sans-serif" w:hAnsi="Google Sans;sans-serif"/>
          <w:b w:val="false"/>
          <w:strike w:val="false"/>
          <w:dstrike w:val="false"/>
          <w:sz w:val="24"/>
          <w:u w:val="none"/>
          <w:effect w:val="none"/>
        </w:rPr>
        <w:t xml:space="preserve"> Carbon Monoxide (\(CO\)).</w:t>
      </w:r>
    </w:p>
    <w:p>
      <w:pPr>
        <w:pStyle w:val="TextBody"/>
        <w:numPr>
          <w:ilvl w:val="1"/>
          <w:numId w:val="3"/>
        </w:numP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Target Media (\(NO_{2}\) Channel):</w:t>
      </w:r>
      <w:r>
        <w:rPr>
          <w:rFonts w:ascii="Google Sans;sans-serif" w:hAnsi="Google Sans;sans-serif"/>
          <w:b w:val="false"/>
          <w:strike w:val="false"/>
          <w:dstrike w:val="false"/>
          <w:sz w:val="24"/>
          <w:u w:val="none"/>
          <w:effect w:val="none"/>
        </w:rPr>
        <w:t xml:space="preserve"> Nitrogen Dioxide (\(NO_{2}\)).</w:t>
      </w:r>
    </w:p>
    <w:p>
      <w:pPr>
        <w:pStyle w:val="TextBody"/>
        <w:numPr>
          <w:ilvl w:val="1"/>
          <w:numId w:val="3"/>
        </w:numP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Electrode Application:</w:t>
      </w:r>
      <w:r>
        <w:rPr>
          <w:rFonts w:ascii="Google Sans;sans-serif" w:hAnsi="Google Sans;sans-serif"/>
          <w:b w:val="false"/>
          <w:strike w:val="false"/>
          <w:dstrike w:val="false"/>
          <w:sz w:val="24"/>
          <w:u w:val="none"/>
          <w:effect w:val="none"/>
        </w:rPr>
        <w:t xml:space="preserve"> Monitors toxic shielding gas breakdown products, incomplete combustion gases (\(CO\)), and high-temperature thermal fixation byproducts (\(NO_{2}\)) escaping the spark gap.</w:t>
      </w:r>
    </w:p>
    <w:p>
      <w:pPr>
        <w:pStyle w:val="TextBody"/>
        <w:numPr>
          <w:ilvl w:val="0"/>
          <w:numId w:val="3"/>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BME680 via Bosch BSEC2 (Environmental &amp; Gas Engine)</w:t>
      </w:r>
    </w:p>
    <w:p>
      <w:pPr>
        <w:pStyle w:val="TextBody"/>
        <w:numPr>
          <w:ilvl w:val="1"/>
          <w:numId w:val="3"/>
        </w:numP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Target Media:</w:t>
      </w:r>
      <w:r>
        <w:rPr>
          <w:rFonts w:ascii="Google Sans;sans-serif" w:hAnsi="Google Sans;sans-serif"/>
          <w:b w:val="false"/>
          <w:strike w:val="false"/>
          <w:dstrike w:val="false"/>
          <w:sz w:val="24"/>
          <w:u w:val="none"/>
          <w:effect w:val="none"/>
        </w:rPr>
        <w:t xml:space="preserve"> Volatile Organic Compounds (\(VOCs\)), Sulfur Compounds, Hydrogen Gas (\(H_{2}\)).</w:t>
      </w:r>
    </w:p>
    <w:p>
      <w:pPr>
        <w:pStyle w:val="TextBody"/>
        <w:numPr>
          <w:ilvl w:val="1"/>
          <w:numId w:val="3"/>
        </w:numPr>
        <w:tabs>
          <w:tab w:val="clear" w:pos="709"/>
          <w:tab w:val="left" w:pos="0" w:leader="none"/>
        </w:tabs>
        <w:bidi w:val="0"/>
        <w:spacing w:before="0" w:after="0"/>
        <w:ind w:left="0" w:right="0" w:hanging="283"/>
        <w:jc w:val="left"/>
        <w:rPr/>
      </w:pPr>
      <w:r>
        <w:rPr>
          <w:rStyle w:val="Emphasis"/>
          <w:rFonts w:ascii="Google Sans;sans-serif" w:hAnsi="Google Sans;sans-serif"/>
          <w:b w:val="false"/>
          <w:strike w:val="false"/>
          <w:dstrike w:val="false"/>
          <w:sz w:val="24"/>
          <w:u w:val="none"/>
          <w:effect w:val="none"/>
        </w:rPr>
        <w:t>Electrode Application:</w:t>
      </w:r>
      <w:r>
        <w:rPr>
          <w:rFonts w:ascii="Google Sans;sans-serif" w:hAnsi="Google Sans;sans-serif"/>
          <w:b w:val="false"/>
          <w:strike w:val="false"/>
          <w:dstrike w:val="false"/>
          <w:sz w:val="24"/>
          <w:u w:val="none"/>
          <w:effect w:val="none"/>
        </w:rPr>
        <w:t xml:space="preserve"> Tracks volatilized vapor complexes from cutting fluids, dielectric oils, electrode coatings, and insulating resins.</w:t>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3.2 Implemented Environmental Indices</w:t>
      </w:r>
    </w:p>
    <w:p>
      <w:pPr>
        <w:pStyle w:val="TextBody"/>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The control architecture processes individual gas sensor curves alongside BSEC2 data arrays to compute continuous safety indexes:</w:t>
      </w:r>
    </w:p>
    <w:p>
      <w:pPr>
        <w:pStyle w:val="TextBody"/>
        <w:numPr>
          <w:ilvl w:val="0"/>
          <w:numId w:val="4"/>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Chamber Air Quality Index (AQI):</w:t>
      </w:r>
      <w:r>
        <w:rPr>
          <w:rFonts w:ascii="Google Sans;sans-serif" w:hAnsi="Google Sans;sans-serif"/>
          <w:b w:val="false"/>
          <w:strike w:val="false"/>
          <w:dstrike w:val="false"/>
          <w:sz w:val="24"/>
          <w:u w:val="none"/>
          <w:effect w:val="none"/>
        </w:rPr>
        <w:t xml:space="preserve"> A multi-variable index fusing \(CO\), \(NO_{2}\), and BSEC2 \(VOC\) tracking into a singular danger metric to adjust ventilation baseline speeds.</w:t>
      </w:r>
    </w:p>
    <w:p>
      <w:pPr>
        <w:pStyle w:val="TextBody"/>
        <w:numPr>
          <w:ilvl w:val="0"/>
          <w:numId w:val="4"/>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Oxidizing Gas Index (OGI):</w:t>
      </w:r>
      <w:r>
        <w:rPr>
          <w:rFonts w:ascii="Google Sans;sans-serif" w:hAnsi="Google Sans;sans-serif"/>
          <w:b w:val="false"/>
          <w:strike w:val="false"/>
          <w:dstrike w:val="false"/>
          <w:sz w:val="24"/>
          <w:u w:val="none"/>
          <w:effect w:val="none"/>
        </w:rPr>
        <w:t xml:space="preserve"> A high-priority control index combining MQ131 (\(O_{3}\)) and MiCS-4514 (\(NO_{2}\)) streams, reflecting extreme electrode ionization states.</w:t>
      </w:r>
    </w:p>
    <w:p>
      <w:pPr>
        <w:pStyle w:val="TextBody"/>
        <w:numPr>
          <w:ilvl w:val="0"/>
          <w:numId w:val="4"/>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Filter Loading Index (FLI):</w:t>
      </w:r>
      <w:r>
        <w:rPr>
          <w:rFonts w:ascii="Google Sans;sans-serif" w:hAnsi="Google Sans;sans-serif"/>
          <w:b w:val="false"/>
          <w:strike w:val="false"/>
          <w:dstrike w:val="false"/>
          <w:sz w:val="24"/>
          <w:u w:val="none"/>
          <w:effect w:val="none"/>
        </w:rPr>
        <w:t xml:space="preserve"> Derived from the differential ratio between open-air SPS30 PM readings and chambered BME680 barometric pressure drop trends, signaling when the 3M 2091 filter is physically packed with debris.</w:t>
      </w:r>
    </w:p>
    <w:p>
      <w:pPr>
        <w:pStyle w:val="HorizontalLine"/>
        <w:bidi w:val="0"/>
        <w:jc w:val="left"/>
        <w:rPr/>
      </w:pPr>
      <w:r>
        <w:rPr/>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4. Hardware Peripheral Mapping</w:t>
      </w:r>
    </w:p>
    <w:tbl>
      <w:tblPr>
        <w:tblW w:w="9638" w:type="dxa"/>
        <w:jc w:val="left"/>
        <w:tblInd w:w="0" w:type="dxa"/>
        <w:tblLayout w:type="fixed"/>
        <w:tblCellMar>
          <w:top w:w="0" w:type="dxa"/>
          <w:left w:w="0" w:type="dxa"/>
          <w:bottom w:w="28" w:type="dxa"/>
          <w:right w:w="0" w:type="dxa"/>
        </w:tblCellMar>
      </w:tblPr>
      <w:tblGrid>
        <w:gridCol w:w="2014"/>
        <w:gridCol w:w="1766"/>
        <w:gridCol w:w="1840"/>
        <w:gridCol w:w="4017"/>
      </w:tblGrid>
      <w:tr>
        <w:trPr/>
        <w:tc>
          <w:tcPr>
            <w:tcW w:w="2014" w:type="dxa"/>
            <w:tcBorders>
              <w:bottom w:val="single" w:sz="2" w:space="0" w:color="363840"/>
            </w:tcBorders>
            <w:vAlign w:val="center"/>
          </w:tcPr>
          <w:p>
            <w:pPr>
              <w:pStyle w:val="TableHeading"/>
              <w:widowControl w:val="false"/>
              <w:bidi w:val="0"/>
              <w:spacing w:before="0" w:after="0"/>
              <w:ind w:left="0" w:right="0" w:hanging="0"/>
              <w:rPr>
                <w:rFonts w:ascii="Google Sans;sans-serif" w:hAnsi="Google Sans;sans-serif"/>
                <w:b/>
                <w:b/>
                <w:strike w:val="false"/>
                <w:dstrike w:val="false"/>
                <w:sz w:val="21"/>
                <w:u w:val="none"/>
                <w:effect w:val="none"/>
              </w:rPr>
            </w:pPr>
            <w:r>
              <w:rPr>
                <w:rFonts w:ascii="Google Sans;sans-serif" w:hAnsi="Google Sans;sans-serif"/>
                <w:b/>
                <w:strike w:val="false"/>
                <w:dstrike w:val="false"/>
                <w:sz w:val="21"/>
                <w:u w:val="none"/>
                <w:effect w:val="none"/>
              </w:rPr>
              <w:t>Subsystem Component</w:t>
            </w:r>
          </w:p>
        </w:tc>
        <w:tc>
          <w:tcPr>
            <w:tcW w:w="1766" w:type="dxa"/>
            <w:tcBorders>
              <w:bottom w:val="single" w:sz="2" w:space="0" w:color="363840"/>
            </w:tcBorders>
            <w:vAlign w:val="center"/>
          </w:tcPr>
          <w:p>
            <w:pPr>
              <w:pStyle w:val="TableHeading"/>
              <w:widowControl w:val="false"/>
              <w:bidi w:val="0"/>
              <w:spacing w:before="0" w:after="0"/>
              <w:ind w:left="0" w:right="0" w:hanging="0"/>
              <w:rPr>
                <w:rFonts w:ascii="Google Sans;sans-serif" w:hAnsi="Google Sans;sans-serif"/>
                <w:b/>
                <w:b/>
                <w:strike w:val="false"/>
                <w:dstrike w:val="false"/>
                <w:sz w:val="21"/>
                <w:u w:val="none"/>
                <w:effect w:val="none"/>
              </w:rPr>
            </w:pPr>
            <w:r>
              <w:rPr>
                <w:rFonts w:ascii="Google Sans;sans-serif" w:hAnsi="Google Sans;sans-serif"/>
                <w:b/>
                <w:strike w:val="false"/>
                <w:dstrike w:val="false"/>
                <w:sz w:val="21"/>
                <w:u w:val="none"/>
                <w:effect w:val="none"/>
              </w:rPr>
              <w:t>Peripheral Identifier</w:t>
            </w:r>
          </w:p>
        </w:tc>
        <w:tc>
          <w:tcPr>
            <w:tcW w:w="1840" w:type="dxa"/>
            <w:tcBorders>
              <w:bottom w:val="single" w:sz="2" w:space="0" w:color="363840"/>
            </w:tcBorders>
            <w:vAlign w:val="center"/>
          </w:tcPr>
          <w:p>
            <w:pPr>
              <w:pStyle w:val="TableHeading"/>
              <w:widowControl w:val="false"/>
              <w:bidi w:val="0"/>
              <w:spacing w:before="0" w:after="0"/>
              <w:ind w:left="0" w:right="0" w:hanging="0"/>
              <w:rPr>
                <w:rFonts w:ascii="Google Sans;sans-serif" w:hAnsi="Google Sans;sans-serif"/>
                <w:b/>
                <w:b/>
                <w:strike w:val="false"/>
                <w:dstrike w:val="false"/>
                <w:sz w:val="21"/>
                <w:u w:val="none"/>
                <w:effect w:val="none"/>
              </w:rPr>
            </w:pPr>
            <w:r>
              <w:rPr>
                <w:rFonts w:ascii="Google Sans;sans-serif" w:hAnsi="Google Sans;sans-serif"/>
                <w:b/>
                <w:strike w:val="false"/>
                <w:dstrike w:val="false"/>
                <w:sz w:val="21"/>
                <w:u w:val="none"/>
                <w:effect w:val="none"/>
              </w:rPr>
              <w:t>Physical Hardware Pin</w:t>
            </w:r>
          </w:p>
        </w:tc>
        <w:tc>
          <w:tcPr>
            <w:tcW w:w="4017" w:type="dxa"/>
            <w:tcBorders>
              <w:bottom w:val="single" w:sz="2" w:space="0" w:color="363840"/>
            </w:tcBorders>
            <w:vAlign w:val="center"/>
          </w:tcPr>
          <w:p>
            <w:pPr>
              <w:pStyle w:val="TableHeading"/>
              <w:widowControl w:val="false"/>
              <w:bidi w:val="0"/>
              <w:spacing w:before="0" w:after="0"/>
              <w:ind w:left="0" w:right="0" w:hanging="0"/>
              <w:rPr>
                <w:rFonts w:ascii="Google Sans;sans-serif" w:hAnsi="Google Sans;sans-serif"/>
                <w:b/>
                <w:b/>
                <w:strike w:val="false"/>
                <w:dstrike w:val="false"/>
                <w:sz w:val="21"/>
                <w:u w:val="none"/>
                <w:effect w:val="none"/>
              </w:rPr>
            </w:pPr>
            <w:r>
              <w:rPr>
                <w:rFonts w:ascii="Google Sans;sans-serif" w:hAnsi="Google Sans;sans-serif"/>
                <w:b/>
                <w:strike w:val="false"/>
                <w:dstrike w:val="false"/>
                <w:sz w:val="21"/>
                <w:u w:val="none"/>
                <w:effect w:val="none"/>
              </w:rPr>
              <w:t>Hardware Mode &amp; Execution Profile</w:t>
            </w:r>
          </w:p>
        </w:tc>
      </w:tr>
      <w:tr>
        <w:trPr/>
        <w:tc>
          <w:tcPr>
            <w:tcW w:w="2014" w:type="dxa"/>
            <w:tcBorders>
              <w:bottom w:val="single" w:sz="2" w:space="0" w:color="363840"/>
            </w:tcBorders>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SPS30 + BME680</w:t>
            </w:r>
          </w:p>
        </w:tc>
        <w:tc>
          <w:tcPr>
            <w:tcW w:w="1766"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I2C2</w:t>
            </w:r>
          </w:p>
        </w:tc>
        <w:tc>
          <w:tcPr>
            <w:tcW w:w="1840"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PB10 (SCL), PB3 (SDA)</w:t>
            </w:r>
          </w:p>
        </w:tc>
        <w:tc>
          <w:tcPr>
            <w:tcW w:w="4017"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Standard Open-Drain. JTAG-SWO trace disabled on PB3.</w:t>
            </w:r>
          </w:p>
        </w:tc>
      </w:tr>
      <w:tr>
        <w:trPr/>
        <w:tc>
          <w:tcPr>
            <w:tcW w:w="2014" w:type="dxa"/>
            <w:tcBorders>
              <w:bottom w:val="single" w:sz="2" w:space="0" w:color="363840"/>
            </w:tcBorders>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MQ-131 Output</w:t>
            </w:r>
          </w:p>
        </w:tc>
        <w:tc>
          <w:tcPr>
            <w:tcW w:w="1766"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ADC1_IN0</w:t>
            </w:r>
          </w:p>
        </w:tc>
        <w:tc>
          <w:tcPr>
            <w:tcW w:w="1840"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PA0</w:t>
            </w:r>
          </w:p>
        </w:tc>
        <w:tc>
          <w:tcPr>
            <w:tcW w:w="4017"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Single-Ended Analog Input (Requires External Divider).</w:t>
            </w:r>
          </w:p>
        </w:tc>
      </w:tr>
      <w:tr>
        <w:trPr/>
        <w:tc>
          <w:tcPr>
            <w:tcW w:w="2014" w:type="dxa"/>
            <w:tcBorders>
              <w:bottom w:val="single" w:sz="2" w:space="0" w:color="363840"/>
            </w:tcBorders>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MiCS-4514 (CO)</w:t>
            </w:r>
          </w:p>
        </w:tc>
        <w:tc>
          <w:tcPr>
            <w:tcW w:w="1766"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ADC1_IN1</w:t>
            </w:r>
          </w:p>
        </w:tc>
        <w:tc>
          <w:tcPr>
            <w:tcW w:w="1840"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PA1</w:t>
            </w:r>
          </w:p>
        </w:tc>
        <w:tc>
          <w:tcPr>
            <w:tcW w:w="4017"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Single-Ended Analog Input (\(V_{OUT1}\)).</w:t>
            </w:r>
          </w:p>
        </w:tc>
      </w:tr>
      <w:tr>
        <w:trPr/>
        <w:tc>
          <w:tcPr>
            <w:tcW w:w="2014" w:type="dxa"/>
            <w:tcBorders>
              <w:bottom w:val="single" w:sz="2" w:space="0" w:color="363840"/>
            </w:tcBorders>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MiCS-4514 (\(NO_{2}\))</w:t>
            </w:r>
          </w:p>
        </w:tc>
        <w:tc>
          <w:tcPr>
            <w:tcW w:w="1766"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ADC1_IN7</w:t>
            </w:r>
          </w:p>
        </w:tc>
        <w:tc>
          <w:tcPr>
            <w:tcW w:w="1840"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PA7</w:t>
            </w:r>
          </w:p>
        </w:tc>
        <w:tc>
          <w:tcPr>
            <w:tcW w:w="4017"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Single-Ended Analog Input (\(V_{OUT2}\)).</w:t>
            </w:r>
          </w:p>
        </w:tc>
      </w:tr>
      <w:tr>
        <w:trPr/>
        <w:tc>
          <w:tcPr>
            <w:tcW w:w="2014" w:type="dxa"/>
            <w:tcBorders>
              <w:bottom w:val="single" w:sz="2" w:space="0" w:color="363840"/>
            </w:tcBorders>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RobotDyn ZC Input</w:t>
            </w:r>
          </w:p>
        </w:tc>
        <w:tc>
          <w:tcPr>
            <w:tcW w:w="1766"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EXTI1</w:t>
            </w:r>
            <w:r>
              <w:rPr>
                <w:rFonts w:ascii="Google Sans;sans-serif" w:hAnsi="Google Sans;sans-serif"/>
                <w:b w:val="false"/>
                <w:strike w:val="false"/>
                <w:dstrike w:val="false"/>
                <w:sz w:val="21"/>
                <w:u w:val="none"/>
                <w:effect w:val="none"/>
              </w:rPr>
              <w:t>6</w:t>
            </w:r>
          </w:p>
        </w:tc>
        <w:tc>
          <w:tcPr>
            <w:tcW w:w="1840"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P</w:t>
            </w:r>
            <w:r>
              <w:rPr>
                <w:rFonts w:ascii="Google Sans;sans-serif" w:hAnsi="Google Sans;sans-serif"/>
                <w:b w:val="false"/>
                <w:strike w:val="false"/>
                <w:dstrike w:val="false"/>
                <w:sz w:val="21"/>
                <w:u w:val="none"/>
                <w:effect w:val="none"/>
              </w:rPr>
              <w:t>c6</w:t>
            </w:r>
          </w:p>
        </w:tc>
        <w:tc>
          <w:tcPr>
            <w:tcW w:w="4017"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Digital Input, configured for falling-edge interrupts.</w:t>
            </w:r>
          </w:p>
        </w:tc>
      </w:tr>
      <w:tr>
        <w:trPr/>
        <w:tc>
          <w:tcPr>
            <w:tcW w:w="2014" w:type="dxa"/>
            <w:tcBorders>
              <w:bottom w:val="single" w:sz="2" w:space="0" w:color="363840"/>
            </w:tcBorders>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RobotDyn Gate Out</w:t>
            </w:r>
          </w:p>
        </w:tc>
        <w:tc>
          <w:tcPr>
            <w:tcW w:w="1766"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GPIO Output</w:t>
            </w:r>
          </w:p>
        </w:tc>
        <w:tc>
          <w:tcPr>
            <w:tcW w:w="1840"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pc7</w:t>
            </w:r>
          </w:p>
        </w:tc>
        <w:tc>
          <w:tcPr>
            <w:tcW w:w="4017"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Push-Pull, High-Speed Output driven by Timer ISR.</w:t>
            </w:r>
          </w:p>
        </w:tc>
      </w:tr>
      <w:tr>
        <w:trPr/>
        <w:tc>
          <w:tcPr>
            <w:tcW w:w="2014" w:type="dxa"/>
            <w:tcBorders>
              <w:bottom w:val="single" w:sz="2" w:space="0" w:color="363840"/>
            </w:tcBorders>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Phase-Delay Tracking</w:t>
            </w:r>
          </w:p>
        </w:tc>
        <w:tc>
          <w:tcPr>
            <w:tcW w:w="1766"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TIM</w:t>
            </w:r>
            <w:r>
              <w:rPr>
                <w:rFonts w:ascii="Google Sans;sans-serif" w:hAnsi="Google Sans;sans-serif"/>
                <w:b w:val="false"/>
                <w:strike w:val="false"/>
                <w:dstrike w:val="false"/>
                <w:sz w:val="21"/>
                <w:u w:val="none"/>
                <w:effect w:val="none"/>
              </w:rPr>
              <w:t>3</w:t>
            </w:r>
          </w:p>
        </w:tc>
        <w:tc>
          <w:tcPr>
            <w:tcW w:w="1840"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Internal</w:t>
            </w:r>
          </w:p>
        </w:tc>
        <w:tc>
          <w:tcPr>
            <w:tcW w:w="4017"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One-Pulse Hardware Mode (Triggered by ZC Interrupt).</w:t>
            </w:r>
          </w:p>
        </w:tc>
      </w:tr>
      <w:tr>
        <w:trPr/>
        <w:tc>
          <w:tcPr>
            <w:tcW w:w="2014" w:type="dxa"/>
            <w:tcBorders>
              <w:bottom w:val="single" w:sz="2" w:space="0" w:color="363840"/>
            </w:tcBorders>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OS Kernel Clock</w:t>
            </w:r>
          </w:p>
        </w:tc>
        <w:tc>
          <w:tcPr>
            <w:tcW w:w="1766"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SysTick</w:t>
            </w:r>
          </w:p>
        </w:tc>
        <w:tc>
          <w:tcPr>
            <w:tcW w:w="1840"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Internal</w:t>
            </w:r>
          </w:p>
        </w:tc>
        <w:tc>
          <w:tcPr>
            <w:tcW w:w="4017"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Dedicated exclusively to FreeRTOS Scheduler operations.</w:t>
            </w:r>
          </w:p>
        </w:tc>
      </w:tr>
      <w:tr>
        <w:trPr/>
        <w:tc>
          <w:tcPr>
            <w:tcW w:w="2014" w:type="dxa"/>
            <w:tcBorders>
              <w:bottom w:val="single" w:sz="2" w:space="0" w:color="363840"/>
            </w:tcBorders>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HAL Timebase</w:t>
            </w:r>
          </w:p>
        </w:tc>
        <w:tc>
          <w:tcPr>
            <w:tcW w:w="1766"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TIM6</w:t>
            </w:r>
          </w:p>
        </w:tc>
        <w:tc>
          <w:tcPr>
            <w:tcW w:w="1840"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Internal</w:t>
            </w:r>
          </w:p>
        </w:tc>
        <w:tc>
          <w:tcPr>
            <w:tcW w:w="4017"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Dedicated strictly to standard HAL delay and timeout loops.</w:t>
            </w:r>
          </w:p>
        </w:tc>
      </w:tr>
      <w:tr>
        <w:trPr/>
        <w:tc>
          <w:tcPr>
            <w:tcW w:w="2014" w:type="dxa"/>
            <w:tcBorders>
              <w:bottom w:val="single" w:sz="2" w:space="0" w:color="363840"/>
            </w:tcBorders>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Debug &amp; Telemetry</w:t>
            </w:r>
          </w:p>
        </w:tc>
        <w:tc>
          <w:tcPr>
            <w:tcW w:w="1766"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USART2</w:t>
            </w:r>
          </w:p>
        </w:tc>
        <w:tc>
          <w:tcPr>
            <w:tcW w:w="1840"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PA2 (TX), PA3 (RX)</w:t>
            </w:r>
          </w:p>
        </w:tc>
        <w:tc>
          <w:tcPr>
            <w:tcW w:w="4017" w:type="dxa"/>
            <w:tcBorders>
              <w:bottom w:val="single" w:sz="2" w:space="0" w:color="363840"/>
            </w:tcBorders>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Asynchronous communication mapped to ST-LINK VCP.</w:t>
            </w:r>
          </w:p>
        </w:tc>
      </w:tr>
      <w:tr>
        <w:trPr/>
        <w:tc>
          <w:tcPr>
            <w:tcW w:w="2014" w:type="dxa"/>
            <w:tcBorders/>
            <w:tcMar>
              <w:bottom w:w="0" w:type="dxa"/>
            </w:tcMar>
            <w:vAlign w:val="center"/>
          </w:tcPr>
          <w:p>
            <w:pPr>
              <w:pStyle w:val="TableContents"/>
              <w:widowControl w:val="false"/>
              <w:bidi w:val="0"/>
              <w:spacing w:before="0" w:after="0"/>
              <w:ind w:left="0" w:right="0" w:hanging="0"/>
              <w:jc w:val="left"/>
              <w:rPr/>
            </w:pPr>
            <w:r>
              <w:rPr>
                <w:rStyle w:val="Strong"/>
                <w:rFonts w:ascii="Google Sans;sans-serif" w:hAnsi="Google Sans;sans-serif"/>
                <w:b/>
                <w:strike w:val="false"/>
                <w:dstrike w:val="false"/>
                <w:sz w:val="21"/>
                <w:u w:val="none"/>
                <w:effect w:val="none"/>
              </w:rPr>
              <w:t>Status Indicator</w:t>
            </w:r>
          </w:p>
        </w:tc>
        <w:tc>
          <w:tcPr>
            <w:tcW w:w="1766" w:type="dxa"/>
            <w:tcBorders/>
            <w:tcMar>
              <w:bottom w:w="0" w:type="dxa"/>
            </w:tcMar>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GPIO Output</w:t>
            </w:r>
          </w:p>
        </w:tc>
        <w:tc>
          <w:tcPr>
            <w:tcW w:w="1840" w:type="dxa"/>
            <w:tcBorders/>
            <w:tcMar>
              <w:bottom w:w="0" w:type="dxa"/>
            </w:tcMar>
            <w:vAlign w:val="center"/>
          </w:tcPr>
          <w:p>
            <w:pPr>
              <w:pStyle w:val="TableContents"/>
              <w:widowControl w:val="false"/>
              <w:bidi w:val="0"/>
              <w:spacing w:before="0" w:after="0"/>
              <w:ind w:left="0" w:right="0" w:hanging="0"/>
              <w:jc w:val="left"/>
              <w:rPr>
                <w:rFonts w:ascii="Google Sans;sans-serif" w:hAnsi="Google Sans;sans-serif"/>
                <w:b w:val="false"/>
                <w:b w:val="false"/>
                <w:strike w:val="false"/>
                <w:dstrike w:val="false"/>
                <w:sz w:val="21"/>
                <w:u w:val="none"/>
                <w:effect w:val="none"/>
              </w:rPr>
            </w:pPr>
            <w:r>
              <w:rPr>
                <w:rFonts w:ascii="Google Sans;sans-serif" w:hAnsi="Google Sans;sans-serif"/>
                <w:b w:val="false"/>
                <w:strike w:val="false"/>
                <w:dstrike w:val="false"/>
                <w:sz w:val="21"/>
                <w:u w:val="none"/>
                <w:effect w:val="none"/>
              </w:rPr>
              <w:t>PA5</w:t>
            </w:r>
          </w:p>
        </w:tc>
        <w:tc>
          <w:tcPr>
            <w:tcW w:w="4017" w:type="dxa"/>
            <w:tcBorders/>
            <w:tcMar>
              <w:bottom w:w="0" w:type="dxa"/>
            </w:tcMar>
            <w:vAlign w:val="center"/>
          </w:tcPr>
          <w:p>
            <w:pPr>
              <w:pStyle w:val="TableContents"/>
              <w:widowControl w:val="false"/>
              <w:bidi w:val="0"/>
              <w:spacing w:before="0" w:after="0"/>
              <w:ind w:left="0" w:right="0" w:hanging="0"/>
              <w:rPr/>
            </w:pPr>
            <w:r>
              <w:rPr>
                <w:rFonts w:ascii="Google Sans;sans-serif" w:hAnsi="Google Sans;sans-serif"/>
                <w:b w:val="false"/>
                <w:strike w:val="false"/>
                <w:dstrike w:val="false"/>
                <w:sz w:val="21"/>
                <w:u w:val="none"/>
                <w:effect w:val="none"/>
              </w:rPr>
              <w:t>Mapped to Nucleo User LED (</w:t>
            </w:r>
            <w:r>
              <w:rPr>
                <w:rStyle w:val="SourceText"/>
                <w:rFonts w:ascii="monospace" w:hAnsi="monospace"/>
                <w:b w:val="false"/>
                <w:strike w:val="false"/>
                <w:dstrike w:val="false"/>
                <w:sz w:val="21"/>
                <w:u w:val="none"/>
                <w:effect w:val="none"/>
                <w:bdr w:val="single" w:sz="2" w:space="1" w:color="2C2E35"/>
              </w:rPr>
              <w:t>LD2</w:t>
            </w:r>
            <w:r>
              <w:rPr>
                <w:rFonts w:ascii="Google Sans;sans-serif" w:hAnsi="Google Sans;sans-serif"/>
                <w:b w:val="false"/>
                <w:strike w:val="false"/>
                <w:dstrike w:val="false"/>
                <w:sz w:val="21"/>
                <w:u w:val="none"/>
                <w:effect w:val="none"/>
              </w:rPr>
              <w:t>).</w:t>
            </w:r>
          </w:p>
        </w:tc>
      </w:tr>
    </w:tbl>
    <w:p>
      <w:pPr>
        <w:pStyle w:val="HorizontalLine"/>
        <w:suppressLineNumbers/>
        <w:pBdr>
          <w:bottom w:val="double" w:sz="2" w:space="0" w:color="808080"/>
        </w:pBdr>
        <w:bidi w:val="0"/>
        <w:spacing w:before="0" w:after="283"/>
        <w:jc w:val="left"/>
        <w:rPr/>
      </w:pPr>
      <w:r>
        <w:rPr/>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5. Software Architecture &amp; Task Concurrency</w:t>
      </w:r>
    </w:p>
    <w:p>
      <w:pPr>
        <w:pStyle w:val="TextBody"/>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The firmware is structured around a priority-preemptive FreeRTOS kernel. Dedicated, isolated software tasks balance long sensor communication windows with fast, real-time AC phase-angle tracking.</w:t>
      </w:r>
    </w:p>
    <w:p>
      <w:pPr>
        <w:pStyle w:val="PreformattedText"/>
        <w:bidi w:val="0"/>
        <w:spacing w:before="0" w:after="0"/>
        <w:ind w:left="0" w:right="0" w:hanging="0"/>
        <w:rPr/>
      </w:pPr>
      <w:r>
        <w:rPr>
          <w:rStyle w:val="SourceText"/>
          <w:rFonts w:ascii="monospace" w:hAnsi="monospace"/>
          <w:b w:val="false"/>
          <w:strike w:val="false"/>
          <w:dstrike w:val="false"/>
          <w:sz w:val="21"/>
          <w:u w:val="none"/>
          <w:effect w:val="none"/>
        </w:rPr>
        <w:t>+---------------------------------------------------------------------------------+</w:t>
      </w:r>
    </w:p>
    <w:p>
      <w:pPr>
        <w:pStyle w:val="PreformattedText"/>
        <w:bidi w:val="0"/>
        <w:spacing w:before="0" w:after="0"/>
        <w:rPr/>
      </w:pPr>
      <w:r>
        <w:rPr/>
      </w:r>
    </w:p>
    <w:p>
      <w:pPr>
        <w:pStyle w:val="PreformattedText"/>
        <w:bidi w:val="0"/>
        <w:spacing w:before="0" w:after="0"/>
        <w:rPr/>
      </w:pPr>
      <w:r>
        <w:rPr>
          <w:rStyle w:val="SourceText"/>
          <w:rFonts w:ascii="monospace" w:hAnsi="monospace"/>
          <w:b w:val="false"/>
          <w:strike w:val="false"/>
          <w:dstrike w:val="false"/>
          <w:sz w:val="21"/>
          <w:u w:val="none"/>
          <w:effect w:val="none"/>
        </w:rPr>
        <w:t>|                                 FreeRTOS Kernel                                 |</w:t>
      </w:r>
    </w:p>
    <w:p>
      <w:pPr>
        <w:pStyle w:val="PreformattedText"/>
        <w:bidi w:val="0"/>
        <w:spacing w:before="0" w:after="0"/>
        <w:rPr/>
      </w:pPr>
      <w:r>
        <w:rPr>
          <w:rStyle w:val="SourceText"/>
          <w:rFonts w:ascii="monospace" w:hAnsi="monospace"/>
          <w:b w:val="false"/>
          <w:strike w:val="false"/>
          <w:dstrike w:val="false"/>
          <w:sz w:val="21"/>
          <w:u w:val="none"/>
          <w:effect w:val="none"/>
        </w:rPr>
        <w:t>+---------------------------------------------------------------------------------+</w:t>
      </w:r>
    </w:p>
    <w:p>
      <w:pPr>
        <w:pStyle w:val="PreformattedText"/>
        <w:bidi w:val="0"/>
        <w:spacing w:before="0" w:after="0"/>
        <w:rPr/>
      </w:pPr>
      <w:r>
        <w:rPr/>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                    |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v                     v                    v                    v</w:t>
      </w:r>
    </w:p>
    <w:p>
      <w:pPr>
        <w:pStyle w:val="PreformattedText"/>
        <w:bidi w:val="0"/>
        <w:spacing w:before="0" w:after="0"/>
        <w:rPr/>
      </w:pPr>
      <w:r>
        <w:rPr>
          <w:rStyle w:val="SourceText"/>
          <w:rFonts w:ascii="monospace" w:hAnsi="monospace"/>
          <w:b w:val="false"/>
          <w:strike w:val="false"/>
          <w:dstrike w:val="false"/>
          <w:sz w:val="21"/>
          <w:u w:val="none"/>
          <w:effect w:val="none"/>
        </w:rPr>
        <w:t>+-----------------+   +-----------------+  +-----------------+  +-----------------+</w:t>
      </w:r>
    </w:p>
    <w:p>
      <w:pPr>
        <w:pStyle w:val="PreformattedText"/>
        <w:bidi w:val="0"/>
        <w:spacing w:before="0" w:after="0"/>
        <w:rPr/>
      </w:pPr>
      <w:r>
        <w:rPr/>
      </w:r>
    </w:p>
    <w:p>
      <w:pPr>
        <w:pStyle w:val="PreformattedText"/>
        <w:bidi w:val="0"/>
        <w:spacing w:before="0" w:after="0"/>
        <w:rPr/>
      </w:pPr>
      <w:r>
        <w:rPr>
          <w:rStyle w:val="SourceText"/>
          <w:rFonts w:ascii="monospace" w:hAnsi="monospace"/>
          <w:b w:val="false"/>
          <w:strike w:val="false"/>
          <w:dstrike w:val="false"/>
          <w:sz w:val="21"/>
          <w:u w:val="none"/>
          <w:effect w:val="none"/>
        </w:rPr>
        <w:t>|  Fan Controller |   |   BSEC2 Engine  |  |   SPS30 Driver  |  |   Telemetry &amp;   |</w:t>
      </w:r>
    </w:p>
    <w:p>
      <w:pPr>
        <w:pStyle w:val="PreformattedText"/>
        <w:bidi w:val="0"/>
        <w:spacing w:before="0" w:after="0"/>
        <w:rPr/>
      </w:pPr>
      <w:r>
        <w:rPr>
          <w:rStyle w:val="SourceText"/>
          <w:rFonts w:ascii="monospace" w:hAnsi="monospace"/>
          <w:b w:val="false"/>
          <w:strike w:val="false"/>
          <w:dstrike w:val="false"/>
          <w:sz w:val="21"/>
          <w:u w:val="none"/>
          <w:effect w:val="none"/>
        </w:rPr>
        <w:t>|       Task      |   |       Task      |  |       Task      |  |  Logging Task   |</w:t>
      </w:r>
    </w:p>
    <w:p>
      <w:pPr>
        <w:pStyle w:val="PreformattedText"/>
        <w:bidi w:val="0"/>
        <w:spacing w:before="0" w:after="0"/>
        <w:rPr/>
      </w:pPr>
      <w:r>
        <w:rPr>
          <w:rStyle w:val="SourceText"/>
          <w:rFonts w:ascii="monospace" w:hAnsi="monospace"/>
          <w:b w:val="false"/>
          <w:strike w:val="false"/>
          <w:dstrike w:val="false"/>
          <w:sz w:val="21"/>
          <w:u w:val="none"/>
          <w:effect w:val="none"/>
        </w:rPr>
        <w:t>|   Priority: 4   |   |   Priority: 3   |  |   Priority: 2   |  |   Priority: 1   |</w:t>
      </w:r>
    </w:p>
    <w:p>
      <w:pPr>
        <w:pStyle w:val="PreformattedText"/>
        <w:bidi w:val="0"/>
        <w:spacing w:before="0" w:after="0"/>
        <w:rPr/>
      </w:pPr>
      <w:r>
        <w:rPr>
          <w:rStyle w:val="SourceText"/>
          <w:rFonts w:ascii="monospace" w:hAnsi="monospace"/>
          <w:b w:val="false"/>
          <w:strike w:val="false"/>
          <w:dstrike w:val="false"/>
          <w:sz w:val="21"/>
          <w:u w:val="none"/>
          <w:effect w:val="none"/>
        </w:rPr>
        <w:t>+-----------------+   +-----------------+  +-----------------+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                    ^                    ^</w:t>
      </w:r>
    </w:p>
    <w:p>
      <w:pPr>
        <w:pStyle w:val="PreformattedText"/>
        <w:bidi w:val="0"/>
        <w:spacing w:before="0" w:after="0"/>
        <w:rPr/>
      </w:pPr>
      <w:r>
        <w:rPr/>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                    |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Inter-Task IPC ]</w:t>
      </w:r>
    </w:p>
    <w:p>
      <w:pPr>
        <w:pStyle w:val="PreformattedText"/>
        <w:bidi w:val="0"/>
        <w:spacing w:before="0" w:after="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(Queues &amp; Shared Memory Mutex)</w:t>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5.1 FreeRTOS Task Matrix</w:t>
      </w:r>
    </w:p>
    <w:p>
      <w:pPr>
        <w:pStyle w:val="TextBody"/>
        <w:numPr>
          <w:ilvl w:val="0"/>
          <w:numId w:val="5"/>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Fan Controller Task (Priority 4 - High):</w:t>
      </w:r>
      <w:r>
        <w:rPr>
          <w:rFonts w:ascii="Google Sans;sans-serif" w:hAnsi="Google Sans;sans-serif"/>
          <w:b w:val="false"/>
          <w:strike w:val="false"/>
          <w:dstrike w:val="false"/>
          <w:sz w:val="24"/>
          <w:u w:val="none"/>
          <w:effect w:val="none"/>
        </w:rPr>
        <w:t xml:space="preserve"> Computes required ventilation intensity using multi-sensor inputs and writes new delay values to the phase-control variables. Monitors system safety states.</w:t>
      </w:r>
    </w:p>
    <w:p>
      <w:pPr>
        <w:pStyle w:val="TextBody"/>
        <w:numPr>
          <w:ilvl w:val="0"/>
          <w:numId w:val="5"/>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BSEC2 Engine Task (Priority 3 - Medium-High):</w:t>
      </w:r>
      <w:r>
        <w:rPr>
          <w:rFonts w:ascii="Google Sans;sans-serif" w:hAnsi="Google Sans;sans-serif"/>
          <w:b w:val="false"/>
          <w:strike w:val="false"/>
          <w:dstrike w:val="false"/>
          <w:sz w:val="24"/>
          <w:u w:val="none"/>
          <w:effect w:val="none"/>
        </w:rPr>
        <w:t xml:space="preserve"> Runs the Bosch BSEC2 proprietary analysis library. Samples I2C2 at a fixed frequency to read the BME680, computing baseline-corrected temperature, humidity, pressure, and air quality metrics. Given its heavy math workload, it uses a larger stack size (4096 bytes).</w:t>
      </w:r>
    </w:p>
    <w:p>
      <w:pPr>
        <w:pStyle w:val="TextBody"/>
        <w:numPr>
          <w:ilvl w:val="0"/>
          <w:numId w:val="5"/>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SPS30 Driver Task (Priority 2 - Medium):</w:t>
      </w:r>
      <w:r>
        <w:rPr>
          <w:rFonts w:ascii="Google Sans;sans-serif" w:hAnsi="Google Sans;sans-serif"/>
          <w:b w:val="false"/>
          <w:strike w:val="false"/>
          <w:dstrike w:val="false"/>
          <w:sz w:val="24"/>
          <w:u w:val="none"/>
          <w:effect w:val="none"/>
        </w:rPr>
        <w:t xml:space="preserve"> Periodic worker thread that communicates with the SPS30 via I2C2. Pulls mass concentration metrics (PM2.5, PM10) every 1–2 seconds.</w:t>
      </w:r>
    </w:p>
    <w:p>
      <w:pPr>
        <w:pStyle w:val="TextBody"/>
        <w:numPr>
          <w:ilvl w:val="0"/>
          <w:numId w:val="5"/>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Telemetry &amp; Logging Task (Priority 1 - Low):</w:t>
      </w:r>
      <w:r>
        <w:rPr>
          <w:rFonts w:ascii="Google Sans;sans-serif" w:hAnsi="Google Sans;sans-serif"/>
          <w:b w:val="false"/>
          <w:strike w:val="false"/>
          <w:dstrike w:val="false"/>
          <w:sz w:val="24"/>
          <w:u w:val="none"/>
          <w:effect w:val="none"/>
        </w:rPr>
        <w:t xml:space="preserve"> Formats collected sensor profiles, active phase delays, and error registers into clean text data streams. Outputs this information via USART2 to the ST-LINK Virtual COM Port.</w:t>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5.2 Data Processing &amp; Interrupt Flow</w:t>
      </w:r>
    </w:p>
    <w:p>
      <w:pPr>
        <w:pStyle w:val="TextBody"/>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Analog data capture and AC phase timing use low-overhead hardware mechanisms to bypass OS scheduling delays:</w:t>
      </w:r>
    </w:p>
    <w:p>
      <w:pPr>
        <w:pStyle w:val="TextBody"/>
        <w:numPr>
          <w:ilvl w:val="0"/>
          <w:numId w:val="6"/>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Continuous Analog Capture:</w:t>
      </w:r>
      <w:r>
        <w:rPr>
          <w:rFonts w:ascii="Google Sans;sans-serif" w:hAnsi="Google Sans;sans-serif"/>
          <w:b w:val="false"/>
          <w:strike w:val="false"/>
          <w:dstrike w:val="false"/>
          <w:sz w:val="24"/>
          <w:u w:val="none"/>
          <w:effect w:val="none"/>
        </w:rPr>
        <w:t xml:space="preserve"> ADC1 operates in Scan Mode via Direct Memory Access (DMA). It continuously updates a local 3-element RAM array with fresh raw voltages from the MQ131 and MiCS-4514 channels without shifting processing overhead onto the CPU.</w:t>
      </w:r>
    </w:p>
    <w:p>
      <w:pPr>
        <w:pStyle w:val="TextBody"/>
        <w:numPr>
          <w:ilvl w:val="0"/>
          <w:numId w:val="6"/>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Zero-Cross &amp; Phase Tracking Loop:</w:t>
      </w:r>
    </w:p>
    <w:p>
      <w:pPr>
        <w:pStyle w:val="TextBody"/>
        <w:numPr>
          <w:ilvl w:val="1"/>
          <w:numId w:val="6"/>
        </w:numPr>
        <w:tabs>
          <w:tab w:val="clear" w:pos="709"/>
          <w:tab w:val="left" w:pos="0" w:leader="none"/>
        </w:tabs>
        <w:bidi w:val="0"/>
        <w:spacing w:before="0" w:after="0"/>
        <w:ind w:left="0" w:right="0" w:hanging="283"/>
        <w:rPr/>
      </w:pPr>
      <w:r>
        <w:rPr>
          <w:rFonts w:ascii="Google Sans;sans-serif" w:hAnsi="Google Sans;sans-serif"/>
          <w:b w:val="false"/>
          <w:strike w:val="false"/>
          <w:dstrike w:val="false"/>
          <w:sz w:val="24"/>
          <w:u w:val="none"/>
          <w:effect w:val="none"/>
        </w:rPr>
        <w:t>The AC line passes through a zero-voltage state, pulling the RobotDyn Zero-Cross pin (</w:t>
      </w:r>
      <w:r>
        <w:rPr>
          <w:rStyle w:val="SourceText"/>
          <w:rFonts w:ascii="monospace" w:hAnsi="monospace"/>
          <w:b w:val="false"/>
          <w:strike w:val="false"/>
          <w:dstrike w:val="false"/>
          <w:sz w:val="21"/>
          <w:u w:val="none"/>
          <w:effect w:val="none"/>
          <w:bdr w:val="single" w:sz="2" w:space="1" w:color="2C2E35"/>
        </w:rPr>
        <w:t>PA10</w:t>
      </w:r>
      <w:r>
        <w:rPr>
          <w:rFonts w:ascii="Google Sans;sans-serif" w:hAnsi="Google Sans;sans-serif"/>
          <w:b w:val="false"/>
          <w:strike w:val="false"/>
          <w:dstrike w:val="false"/>
          <w:sz w:val="24"/>
          <w:u w:val="none"/>
          <w:effect w:val="none"/>
        </w:rPr>
        <w:t>) low.</w:t>
      </w:r>
    </w:p>
    <w:p>
      <w:pPr>
        <w:pStyle w:val="TextBody"/>
        <w:numPr>
          <w:ilvl w:val="1"/>
          <w:numId w:val="6"/>
        </w:numPr>
        <w:tabs>
          <w:tab w:val="clear" w:pos="709"/>
          <w:tab w:val="left" w:pos="0" w:leader="none"/>
        </w:tabs>
        <w:bidi w:val="0"/>
        <w:spacing w:before="0" w:after="0"/>
        <w:ind w:left="0" w:right="0" w:hanging="283"/>
        <w:rPr/>
      </w:pPr>
      <w:r>
        <w:rPr>
          <w:rFonts w:ascii="Google Sans;sans-serif" w:hAnsi="Google Sans;sans-serif"/>
          <w:b w:val="false"/>
          <w:strike w:val="false"/>
          <w:dstrike w:val="false"/>
          <w:sz w:val="24"/>
          <w:u w:val="none"/>
          <w:effect w:val="none"/>
        </w:rPr>
        <w:t>An external interrupt (</w:t>
      </w:r>
      <w:r>
        <w:rPr>
          <w:rStyle w:val="SourceText"/>
          <w:rFonts w:ascii="monospace" w:hAnsi="monospace"/>
          <w:b w:val="false"/>
          <w:strike w:val="false"/>
          <w:dstrike w:val="false"/>
          <w:sz w:val="21"/>
          <w:u w:val="none"/>
          <w:effect w:val="none"/>
          <w:bdr w:val="single" w:sz="2" w:space="1" w:color="2C2E35"/>
        </w:rPr>
        <w:t>EXTI10</w:t>
      </w:r>
      <w:r>
        <w:rPr>
          <w:rFonts w:ascii="Google Sans;sans-serif" w:hAnsi="Google Sans;sans-serif"/>
          <w:b w:val="false"/>
          <w:strike w:val="false"/>
          <w:dstrike w:val="false"/>
          <w:sz w:val="24"/>
          <w:u w:val="none"/>
          <w:effect w:val="none"/>
        </w:rPr>
        <w:t>) triggers immediately, preempting the OS to signal the arrival of a new AC half-cycle.</w:t>
      </w:r>
    </w:p>
    <w:p>
      <w:pPr>
        <w:pStyle w:val="TextBody"/>
        <w:numPr>
          <w:ilvl w:val="1"/>
          <w:numId w:val="6"/>
        </w:numPr>
        <w:tabs>
          <w:tab w:val="clear" w:pos="709"/>
          <w:tab w:val="left" w:pos="0" w:leader="none"/>
        </w:tabs>
        <w:bidi w:val="0"/>
        <w:spacing w:before="0" w:after="0"/>
        <w:ind w:left="0" w:right="0" w:hanging="283"/>
        <w:rPr/>
      </w:pPr>
      <w:r>
        <w:rPr>
          <w:rFonts w:ascii="Google Sans;sans-serif" w:hAnsi="Google Sans;sans-serif"/>
          <w:b w:val="false"/>
          <w:strike w:val="false"/>
          <w:dstrike w:val="false"/>
          <w:sz w:val="24"/>
          <w:u w:val="none"/>
          <w:effect w:val="none"/>
        </w:rPr>
        <w:t xml:space="preserve">The EXTI handler initializes and starts </w:t>
      </w:r>
      <w:r>
        <w:rPr>
          <w:rStyle w:val="SourceText"/>
          <w:rFonts w:ascii="monospace" w:hAnsi="monospace"/>
          <w:b w:val="false"/>
          <w:strike w:val="false"/>
          <w:dstrike w:val="false"/>
          <w:sz w:val="21"/>
          <w:u w:val="none"/>
          <w:effect w:val="none"/>
          <w:bdr w:val="single" w:sz="2" w:space="1" w:color="2C2E35"/>
        </w:rPr>
        <w:t>TIM2</w:t>
      </w:r>
      <w:r>
        <w:rPr>
          <w:rFonts w:ascii="Google Sans;sans-serif" w:hAnsi="Google Sans;sans-serif"/>
          <w:b w:val="false"/>
          <w:strike w:val="false"/>
          <w:dstrike w:val="false"/>
          <w:sz w:val="24"/>
          <w:u w:val="none"/>
          <w:effect w:val="none"/>
        </w:rPr>
        <w:t xml:space="preserve"> in One-Pulse Mode, loading the current phase delay value.</w:t>
      </w:r>
    </w:p>
    <w:p>
      <w:pPr>
        <w:pStyle w:val="TextBody"/>
        <w:numPr>
          <w:ilvl w:val="1"/>
          <w:numId w:val="6"/>
        </w:numPr>
        <w:tabs>
          <w:tab w:val="clear" w:pos="709"/>
          <w:tab w:val="left" w:pos="0" w:leader="none"/>
        </w:tabs>
        <w:bidi w:val="0"/>
        <w:spacing w:before="0" w:after="0"/>
        <w:ind w:left="0" w:right="0" w:hanging="283"/>
        <w:rPr/>
      </w:pPr>
      <w:r>
        <w:rPr>
          <w:rFonts w:ascii="Google Sans;sans-serif" w:hAnsi="Google Sans;sans-serif"/>
          <w:b w:val="false"/>
          <w:strike w:val="false"/>
          <w:dstrike w:val="false"/>
          <w:sz w:val="24"/>
          <w:u w:val="none"/>
          <w:effect w:val="none"/>
        </w:rPr>
        <w:t xml:space="preserve">When </w:t>
      </w:r>
      <w:r>
        <w:rPr>
          <w:rStyle w:val="SourceText"/>
          <w:rFonts w:ascii="monospace" w:hAnsi="monospace"/>
          <w:b w:val="false"/>
          <w:strike w:val="false"/>
          <w:dstrike w:val="false"/>
          <w:sz w:val="21"/>
          <w:u w:val="none"/>
          <w:effect w:val="none"/>
          <w:bdr w:val="single" w:sz="2" w:space="1" w:color="2C2E35"/>
        </w:rPr>
        <w:t>TIM2</w:t>
      </w:r>
      <w:r>
        <w:rPr>
          <w:rFonts w:ascii="Google Sans;sans-serif" w:hAnsi="Google Sans;sans-serif"/>
          <w:b w:val="false"/>
          <w:strike w:val="false"/>
          <w:dstrike w:val="false"/>
          <w:sz w:val="24"/>
          <w:u w:val="none"/>
          <w:effect w:val="none"/>
        </w:rPr>
        <w:t xml:space="preserve"> matches the delay value, its hardware interrupt fires, driving </w:t>
      </w:r>
      <w:r>
        <w:rPr>
          <w:rStyle w:val="SourceText"/>
          <w:rFonts w:ascii="monospace" w:hAnsi="monospace"/>
          <w:b w:val="false"/>
          <w:strike w:val="false"/>
          <w:dstrike w:val="false"/>
          <w:sz w:val="21"/>
          <w:u w:val="none"/>
          <w:effect w:val="none"/>
          <w:bdr w:val="single" w:sz="2" w:space="1" w:color="2C2E35"/>
        </w:rPr>
        <w:t>PA6</w:t>
      </w:r>
      <w:r>
        <w:rPr>
          <w:rFonts w:ascii="Google Sans;sans-serif" w:hAnsi="Google Sans;sans-serif"/>
          <w:b w:val="false"/>
          <w:strike w:val="false"/>
          <w:dstrike w:val="false"/>
          <w:sz w:val="24"/>
          <w:u w:val="none"/>
          <w:effect w:val="none"/>
        </w:rPr>
        <w:t xml:space="preserve"> high for a brief, fixed period to pulse the TRIAC gate and engage the fan.</w:t>
      </w:r>
    </w:p>
    <w:p>
      <w:pPr>
        <w:pStyle w:val="HorizontalLine"/>
        <w:bidi w:val="0"/>
        <w:jc w:val="left"/>
        <w:rPr/>
      </w:pPr>
      <w:r>
        <w:rPr/>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6. Mathematical &amp; Physical Normalization</w:t>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6.1 Pneumatic Lag &amp; Transport Delay Compensation</w:t>
      </w:r>
    </w:p>
    <w:p>
      <w:pPr>
        <w:pStyle w:val="TextBody"/>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Because the 3-meter intake pipe and P100 filter restrict flow, gas molecules reach the measurement chamber several seconds after the SPS30 encounters the ambient air. The processing engine matches ambient particulate readings with chambered gas concentrations by routing the open-air data through a software-managed ring buffer. This matches delayed chamber signals with the corresponding historical ambient data packet.</w:t>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6.2 Environmental Gas Calibration</w:t>
      </w:r>
    </w:p>
    <w:p>
      <w:pPr>
        <w:pStyle w:val="TextBody"/>
        <w:bidi w:val="0"/>
        <w:spacing w:before="180" w:after="240"/>
        <w:ind w:left="0" w:right="0" w:hanging="0"/>
        <w:jc w:val="left"/>
        <w:rPr>
          <w:rFonts w:ascii="Google Sans;sans-serif" w:hAnsi="Google Sans;sans-serif"/>
          <w:b w:val="false"/>
          <w:b w:val="false"/>
          <w:strike w:val="false"/>
          <w:dstrike w:val="false"/>
          <w:sz w:val="24"/>
          <w:u w:val="none"/>
          <w:effect w:val="none"/>
        </w:rPr>
      </w:pPr>
      <w:r>
        <w:rPr>
          <w:rFonts w:ascii="Google Sans;sans-serif" w:hAnsi="Google Sans;sans-serif"/>
          <w:b w:val="false"/>
          <w:strike w:val="false"/>
          <w:dstrike w:val="false"/>
          <w:sz w:val="24"/>
          <w:u w:val="none"/>
          <w:effect w:val="none"/>
        </w:rPr>
        <w:t>Changes in pressure and temperature inside the closed chamber alter the baseline resistance (\(R_{0}\)) of the metal-oxide gas sensors. The control system uses live temperature, relative humidity, and barometric pressure data calculated by the BSEC2 engine to dynamically scale the raw voltage curves (\(V_{OUT}\) to PPM) for the MQ131 and MiCS-4514 channels.</w:t>
      </w:r>
    </w:p>
    <w:p>
      <w:pPr>
        <w:pStyle w:val="HorizontalLine"/>
        <w:suppressLineNumbers/>
        <w:pBdr>
          <w:bottom w:val="double" w:sz="2" w:space="0" w:color="808080"/>
        </w:pBdr>
        <w:bidi w:val="0"/>
        <w:spacing w:before="0" w:after="283"/>
        <w:jc w:val="left"/>
        <w:rPr/>
      </w:pPr>
      <w:r>
        <w:rPr/>
      </w:r>
    </w:p>
    <w:p>
      <w:pPr>
        <w:pStyle w:val="TextBody"/>
        <w:bidi w:val="0"/>
        <w:spacing w:before="360" w:after="180"/>
        <w:ind w:left="0" w:right="0" w:hanging="0"/>
        <w:jc w:val="left"/>
        <w:rPr>
          <w:rFonts w:ascii="Google Sans;sans-serif" w:hAnsi="Google Sans;sans-serif"/>
          <w:b/>
          <w:b/>
          <w:strike w:val="false"/>
          <w:dstrike w:val="false"/>
          <w:sz w:val="30"/>
          <w:u w:val="none"/>
          <w:effect w:val="none"/>
        </w:rPr>
      </w:pPr>
      <w:r>
        <w:rPr>
          <w:rFonts w:ascii="Google Sans;sans-serif" w:hAnsi="Google Sans;sans-serif"/>
          <w:b/>
          <w:strike w:val="false"/>
          <w:dstrike w:val="false"/>
          <w:sz w:val="30"/>
          <w:u w:val="none"/>
          <w:effect w:val="none"/>
        </w:rPr>
        <w:t>7. Safety &amp; Fail-Safe Operations</w:t>
      </w:r>
    </w:p>
    <w:p>
      <w:pPr>
        <w:pStyle w:val="TextBody"/>
        <w:numPr>
          <w:ilvl w:val="0"/>
          <w:numId w:val="7"/>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Loss of Signal Safety:</w:t>
      </w:r>
      <w:r>
        <w:rPr>
          <w:rFonts w:ascii="Google Sans;sans-serif" w:hAnsi="Google Sans;sans-serif"/>
          <w:b w:val="false"/>
          <w:strike w:val="false"/>
          <w:dstrike w:val="false"/>
          <w:sz w:val="24"/>
          <w:u w:val="none"/>
          <w:effect w:val="none"/>
        </w:rPr>
        <w:t xml:space="preserve"> If the I2C2 bus locks up, or if the DMA stream drops out for more than 5 consecutive execution cycles, the system enters an Emergency Override state. It immediately sets the TRIAC phase delay to 0%, running the exhaust fan at 100% capacity to ensure continuous ventilation.</w:t>
      </w:r>
    </w:p>
    <w:p>
      <w:pPr>
        <w:pStyle w:val="TextBody"/>
        <w:numPr>
          <w:ilvl w:val="0"/>
          <w:numId w:val="7"/>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Sensor Degradation Recovery:</w:t>
      </w:r>
      <w:r>
        <w:rPr>
          <w:rFonts w:ascii="Google Sans;sans-serif" w:hAnsi="Google Sans;sans-serif"/>
          <w:b w:val="false"/>
          <w:strike w:val="false"/>
          <w:dstrike w:val="false"/>
          <w:sz w:val="24"/>
          <w:u w:val="none"/>
          <w:effect w:val="none"/>
        </w:rPr>
        <w:t xml:space="preserve"> If any gas sensor reads an impossible voltage (0V due to short circuit or 3.3V due to broken wire), the system flags a sensor failure error over USART2 and defaults the ventilation loop to maximum speed.</w:t>
      </w:r>
    </w:p>
    <w:p>
      <w:pPr>
        <w:pStyle w:val="TextBody"/>
        <w:numPr>
          <w:ilvl w:val="0"/>
          <w:numId w:val="7"/>
        </w:numPr>
        <w:tabs>
          <w:tab w:val="clear" w:pos="709"/>
          <w:tab w:val="left" w:pos="0" w:leader="none"/>
        </w:tabs>
        <w:bidi w:val="0"/>
        <w:spacing w:before="0" w:after="0"/>
        <w:ind w:left="0" w:right="0" w:hanging="283"/>
        <w:jc w:val="left"/>
        <w:rPr/>
      </w:pPr>
      <w:r>
        <w:rPr>
          <w:rStyle w:val="Strong"/>
          <w:rFonts w:ascii="Google Sans;sans-serif" w:hAnsi="Google Sans;sans-serif"/>
          <w:b/>
          <w:strike w:val="false"/>
          <w:dstrike w:val="false"/>
          <w:sz w:val="24"/>
          <w:u w:val="none"/>
          <w:effect w:val="none"/>
        </w:rPr>
        <w:t>BSEC2 State Saving:</w:t>
      </w:r>
      <w:r>
        <w:rPr>
          <w:rFonts w:ascii="Google Sans;sans-serif" w:hAnsi="Google Sans;sans-serif"/>
          <w:b w:val="false"/>
          <w:strike w:val="false"/>
          <w:dstrike w:val="false"/>
          <w:sz w:val="24"/>
          <w:u w:val="none"/>
          <w:effect w:val="none"/>
        </w:rPr>
        <w:t xml:space="preserve"> To maintain sensor accuracy across reboots, the system backs up the BSEC2 algorithm's calibration matrix to the STM32's non-volatile internal flash memory once per hour.</w:t>
      </w:r>
    </w:p>
    <w:p>
      <w:pPr>
        <w:pStyle w:val="HorizontalLine"/>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w:altName w:val="sans-serif"/>
    <w:charset w:val="01"/>
    <w:family w:val="roman"/>
    <w:pitch w:val="variable"/>
  </w:font>
  <w:font w:name="monospace">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L"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L" w:eastAsia="zh-CN" w:bidi="hi-IN"/>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InternetLink">
    <w:name w:val="Hyperlink"/>
    <w:rPr>
      <w:color w:val="000080"/>
      <w:u w:val="single"/>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Mu7A06BUWls" TargetMode="External"/><Relationship Id="rId3" Type="http://schemas.openxmlformats.org/officeDocument/2006/relationships/hyperlink" Target="https://robocraze.com/blogs/post/mq-series-gas-sensor?srsltid=AfmBOooTngmPbjGdWK5cSO5aYBWlrCXu5tQBdXT618Md7hSdP_0I8nU9" TargetMode="External"/><Relationship Id="rId4" Type="http://schemas.openxmlformats.org/officeDocument/2006/relationships/hyperlink" Target="https://circuitdigest.com/microcontroller-projects/ai-based-air-quality-index-monitoring-and-suggestion-syste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LibreOffice/7.4.7.2$Linux_X86_64 LibreOffice_project/40$Build-2</Application>
  <AppVersion>15.0000</AppVersion>
  <Pages>6</Pages>
  <Words>1473</Words>
  <Characters>8792</Characters>
  <CharactersWithSpaces>11271</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2026-08-05T19:53:20Z</dcterms:created>
  <dc:creator/>
  <dc:description/>
  <dc:language>en-IL</dc:language>
  <cp:lastModifiedBy/>
  <dcterms:modified xsi:type="dcterms:W3CDTF">2026-08-10T16:13:44Z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