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40"/>
          <w:szCs w:val="40"/>
        </w:rPr>
        <w:t xml:space="preserve">Technical Specification: Bulk Case Reassignment (BCR)</w:t>
      </w:r>
    </w:p>
    <w:p>
      <w:pPr>
        <w:spacing w:after="60" w:before="60"/>
      </w:pPr>
      <w:r>
        <w:rPr>
          <w:rFonts w:ascii="Arial" w:cs="Arial" w:eastAsia="Arial" w:hAnsi="Arial"/>
          <w:b/>
          <w:bCs/>
          <w:sz w:val="22"/>
          <w:szCs w:val="22"/>
        </w:rPr>
        <w:t xml:space="preserve">Document Version: </w:t>
      </w:r>
      <w:r>
        <w:rPr>
          <w:rFonts w:ascii="Arial" w:cs="Arial" w:eastAsia="Arial" w:hAnsi="Arial"/>
          <w:sz w:val="22"/>
          <w:szCs w:val="22"/>
        </w:rPr>
        <w:t xml:space="preserve">1.0.0</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Ready for Implementation</w:t>
      </w:r>
    </w:p>
    <w:p>
      <w:pPr>
        <w:spacing w:after="60" w:before="60"/>
      </w:pPr>
      <w:r>
        <w:rPr>
          <w:rFonts w:ascii="Arial" w:cs="Arial" w:eastAsia="Arial" w:hAnsi="Arial"/>
          <w:b/>
          <w:bCs/>
          <w:sz w:val="22"/>
          <w:szCs w:val="22"/>
        </w:rPr>
        <w:t xml:space="preserve">Category: </w:t>
      </w:r>
      <w:r>
        <w:rPr>
          <w:rFonts w:ascii="Arial" w:cs="Arial" w:eastAsia="Arial" w:hAnsi="Arial"/>
          <w:sz w:val="22"/>
          <w:szCs w:val="22"/>
        </w:rPr>
        <w:t xml:space="preserve">Compliance Tooling / Workflow Enhancement</w:t>
      </w:r>
    </w:p>
    <w:p>
      <w:pPr>
        <w:pStyle w:val="Heading1"/>
        <w:spacing w:after="160" w:before="280"/>
      </w:pPr>
      <w:r>
        <w:rPr>
          <w:rFonts w:ascii="Arial" w:cs="Arial" w:eastAsia="Arial" w:hAnsi="Arial"/>
          <w:b/>
          <w:bCs/>
          <w:sz w:val="36"/>
          <w:szCs w:val="36"/>
        </w:rPr>
        <w:t xml:space="preserve">1. Overview</w:t>
      </w:r>
    </w:p>
    <w:p>
      <w:pPr>
        <w:spacing w:after="60" w:before="60"/>
      </w:pPr>
      <w:r>
        <w:rPr>
          <w:rFonts w:ascii="Arial" w:cs="Arial" w:eastAsia="Arial" w:hAnsi="Arial"/>
          <w:sz w:val="22"/>
          <w:szCs w:val="22"/>
        </w:rPr>
        <w:t xml:space="preserve">Bulk Case Reassignment (BCR) extends the Regulatory Compliance Operations Console (RCOC) with a single workflow: a Supervisor selects multiple cases on the Violations Dashboard and reassigns them to a different analyst in one action. Today this requires opening each case individually, which becomes prohibitive during incident bursts.</w:t>
      </w:r>
    </w:p>
    <w:p>
      <w:pPr>
        <w:pStyle w:val="Heading2"/>
        <w:spacing w:after="120" w:before="240"/>
      </w:pPr>
      <w:r>
        <w:rPr>
          <w:rFonts w:ascii="Arial" w:cs="Arial" w:eastAsia="Arial" w:hAnsi="Arial"/>
          <w:b/>
          <w:bCs/>
          <w:sz w:val="30"/>
          <w:szCs w:val="30"/>
        </w:rPr>
        <w:t xml:space="preserve">1.1 Objective</w:t>
      </w:r>
    </w:p>
    <w:p>
      <w:pPr>
        <w:spacing w:after="60" w:before="60"/>
      </w:pPr>
      <w:r>
        <w:rPr>
          <w:rFonts w:ascii="Arial" w:cs="Arial" w:eastAsia="Arial" w:hAnsi="Arial"/>
          <w:sz w:val="22"/>
          <w:szCs w:val="22"/>
        </w:rPr>
        <w:t xml:space="preserve">Reduce the median time to redistribute a queue of 20+ cases from ~6 minutes (one-by-one) to &lt; 20 seconds (single bulk action).</w:t>
      </w:r>
    </w:p>
    <w:p>
      <w:pPr>
        <w:pStyle w:val="Heading2"/>
        <w:spacing w:after="120" w:before="240"/>
      </w:pPr>
      <w:r>
        <w:rPr>
          <w:rFonts w:ascii="Arial" w:cs="Arial" w:eastAsia="Arial" w:hAnsi="Arial"/>
          <w:b/>
          <w:bCs/>
          <w:sz w:val="30"/>
          <w:szCs w:val="30"/>
        </w:rPr>
        <w:t xml:space="preserve">1.2 In Scope</w:t>
      </w:r>
    </w:p>
    <w:p>
      <w:pPr>
        <w:pStyle w:val="ListParagraph"/>
        <w:numPr>
          <w:ilvl w:val="0"/>
          <w:numId w:val="2"/>
        </w:numPr>
        <w:spacing w:after="40" w:before="40"/>
      </w:pPr>
      <w:r>
        <w:rPr>
          <w:rFonts w:ascii="Arial" w:cs="Arial" w:eastAsia="Arial" w:hAnsi="Arial"/>
          <w:sz w:val="22"/>
          <w:szCs w:val="22"/>
        </w:rPr>
        <w:t xml:space="preserve">Multi-select on the existing Violations Dashboard (RCOC-FE-1).</w:t>
      </w:r>
    </w:p>
    <w:p>
      <w:pPr>
        <w:pStyle w:val="ListParagraph"/>
        <w:numPr>
          <w:ilvl w:val="0"/>
          <w:numId w:val="2"/>
        </w:numPr>
        <w:spacing w:after="40" w:before="40"/>
      </w:pPr>
      <w:r>
        <w:rPr>
          <w:rFonts w:ascii="Arial" w:cs="Arial" w:eastAsia="Arial" w:hAnsi="Arial"/>
          <w:sz w:val="22"/>
          <w:szCs w:val="22"/>
        </w:rPr>
        <w:t xml:space="preserve">A reassignment modal that targets a single assignee for the selected set.</w:t>
      </w:r>
    </w:p>
    <w:p>
      <w:pPr>
        <w:pStyle w:val="ListParagraph"/>
        <w:numPr>
          <w:ilvl w:val="0"/>
          <w:numId w:val="2"/>
        </w:numPr>
        <w:spacing w:after="40" w:before="40"/>
      </w:pPr>
      <w:r>
        <w:rPr>
          <w:rFonts w:ascii="Arial" w:cs="Arial" w:eastAsia="Arial" w:hAnsi="Arial"/>
          <w:sz w:val="22"/>
          <w:szCs w:val="22"/>
        </w:rPr>
        <w:t xml:space="preserve">A new BE endpoint that processes up to 100 cases per request and reports per-case outcomes.</w:t>
      </w:r>
    </w:p>
    <w:p>
      <w:pPr>
        <w:pStyle w:val="Heading2"/>
        <w:spacing w:after="120" w:before="240"/>
      </w:pPr>
      <w:r>
        <w:rPr>
          <w:rFonts w:ascii="Arial" w:cs="Arial" w:eastAsia="Arial" w:hAnsi="Arial"/>
          <w:b/>
          <w:bCs/>
          <w:sz w:val="30"/>
          <w:szCs w:val="30"/>
        </w:rPr>
        <w:t xml:space="preserve">1.3 Out of Scope</w:t>
      </w:r>
    </w:p>
    <w:p>
      <w:pPr>
        <w:pStyle w:val="ListParagraph"/>
        <w:numPr>
          <w:ilvl w:val="0"/>
          <w:numId w:val="2"/>
        </w:numPr>
        <w:spacing w:after="40" w:before="40"/>
      </w:pPr>
      <w:r>
        <w:rPr>
          <w:rFonts w:ascii="Arial" w:cs="Arial" w:eastAsia="Arial" w:hAnsi="Arial"/>
          <w:sz w:val="22"/>
          <w:szCs w:val="22"/>
        </w:rPr>
        <w:t xml:space="preserve">Bulk state transitions (e.g. bulk-resolve, bulk-escalate). Reassignment only.</w:t>
      </w:r>
    </w:p>
    <w:p>
      <w:pPr>
        <w:pStyle w:val="ListParagraph"/>
        <w:numPr>
          <w:ilvl w:val="0"/>
          <w:numId w:val="2"/>
        </w:numPr>
        <w:spacing w:after="40" w:before="40"/>
      </w:pPr>
      <w:r>
        <w:rPr>
          <w:rFonts w:ascii="Arial" w:cs="Arial" w:eastAsia="Arial" w:hAnsi="Arial"/>
          <w:sz w:val="22"/>
          <w:szCs w:val="22"/>
        </w:rPr>
        <w:t xml:space="preserve">Cross-source bulk operations. Selection is permitted across GOV and JTA cases.</w:t>
      </w:r>
    </w:p>
    <w:p>
      <w:pPr>
        <w:pStyle w:val="Heading1"/>
        <w:spacing w:after="160" w:before="280"/>
      </w:pPr>
      <w:r>
        <w:rPr>
          <w:rFonts w:ascii="Arial" w:cs="Arial" w:eastAsia="Arial" w:hAnsi="Arial"/>
          <w:b/>
          <w:bCs/>
          <w:sz w:val="36"/>
          <w:szCs w:val="36"/>
        </w:rPr>
        <w:t xml:space="preserve">2. Component Specifications</w:t>
      </w:r>
    </w:p>
    <w:p>
      <w:pPr>
        <w:pStyle w:val="Heading2"/>
        <w:spacing w:after="120" w:before="240"/>
      </w:pPr>
      <w:r>
        <w:rPr>
          <w:rFonts w:ascii="Arial" w:cs="Arial" w:eastAsia="Arial" w:hAnsi="Arial"/>
          <w:b/>
          <w:bCs/>
          <w:sz w:val="30"/>
          <w:szCs w:val="30"/>
        </w:rPr>
        <w:t xml:space="preserve">2.1 Multi-Select Mode (BCR-FE-1)</w:t>
      </w:r>
    </w:p>
    <w:p>
      <w:pPr>
        <w:spacing w:after="60" w:before="60"/>
      </w:pPr>
      <w:r>
        <w:rPr>
          <w:rFonts w:ascii="Arial" w:cs="Arial" w:eastAsia="Arial" w:hAnsi="Arial"/>
          <w:sz w:val="22"/>
          <w:szCs w:val="22"/>
        </w:rPr>
        <w:t xml:space="preserve">An enhancement to the Violations Dashboard that introduces a selection layer above the existing results grid.</w:t>
      </w:r>
    </w:p>
    <w:p>
      <w:pPr>
        <w:pStyle w:val="ListParagraph"/>
        <w:numPr>
          <w:ilvl w:val="0"/>
          <w:numId w:val="2"/>
        </w:numPr>
        <w:spacing w:after="40" w:before="40"/>
      </w:pPr>
      <w:r>
        <w:rPr>
          <w:rFonts w:ascii="Arial" w:cs="Arial" w:eastAsia="Arial" w:hAnsi="Arial"/>
          <w:b/>
          <w:bCs/>
          <w:sz w:val="22"/>
          <w:szCs w:val="22"/>
        </w:rPr>
        <w:t xml:space="preserve">Role gate:</w:t>
      </w:r>
      <w:r>
        <w:rPr>
          <w:rFonts w:ascii="Arial" w:cs="Arial" w:eastAsia="Arial" w:hAnsi="Arial"/>
          <w:sz w:val="22"/>
          <w:szCs w:val="22"/>
        </w:rPr>
        <w:t xml:space="preserve"> Multi-select UI is rendered only when the viewer's role is Supervisor or higher. Analyst role sees the dashboard exactly as before, with no selection affordances.</w:t>
      </w:r>
    </w:p>
    <w:p>
      <w:pPr>
        <w:pStyle w:val="ListParagraph"/>
        <w:numPr>
          <w:ilvl w:val="0"/>
          <w:numId w:val="2"/>
        </w:numPr>
        <w:spacing w:after="40" w:before="40"/>
      </w:pPr>
      <w:r>
        <w:rPr>
          <w:rFonts w:ascii="Arial" w:cs="Arial" w:eastAsia="Arial" w:hAnsi="Arial"/>
          <w:b/>
          <w:bCs/>
          <w:sz w:val="22"/>
          <w:szCs w:val="22"/>
        </w:rPr>
        <w:t xml:space="preserve">Selection mechanics:</w:t>
      </w:r>
    </w:p>
    <w:p>
      <w:pPr>
        <w:pStyle w:val="ListParagraph"/>
        <w:numPr>
          <w:ilvl w:val="1"/>
          <w:numId w:val="2"/>
        </w:numPr>
        <w:spacing w:after="40" w:before="40"/>
      </w:pPr>
      <w:r>
        <w:rPr>
          <w:rFonts w:ascii="Arial" w:cs="Arial" w:eastAsia="Arial" w:hAnsi="Arial"/>
          <w:sz w:val="22"/>
          <w:szCs w:val="22"/>
        </w:rPr>
        <w:t xml:space="preserve">A checkbox column appears as the leftmost column of the grid. A header checkbox toggles select-all-on-current-page (not all-pages).</w:t>
      </w:r>
    </w:p>
    <w:p>
      <w:pPr>
        <w:pStyle w:val="ListParagraph"/>
        <w:numPr>
          <w:ilvl w:val="1"/>
          <w:numId w:val="2"/>
        </w:numPr>
        <w:spacing w:after="40" w:before="40"/>
      </w:pPr>
      <w:r>
        <w:rPr>
          <w:rFonts w:ascii="Arial" w:cs="Arial" w:eastAsia="Arial" w:hAnsi="Arial"/>
          <w:sz w:val="22"/>
          <w:szCs w:val="22"/>
        </w:rPr>
        <w:t xml:space="preserve">Shift-click on a row checkbox selects the range between the last-clicked checkbox and the current one.</w:t>
      </w:r>
    </w:p>
    <w:p>
      <w:pPr>
        <w:pStyle w:val="ListParagraph"/>
        <w:numPr>
          <w:ilvl w:val="1"/>
          <w:numId w:val="2"/>
        </w:numPr>
        <w:spacing w:after="40" w:before="40"/>
      </w:pPr>
      <w:r>
        <w:rPr>
          <w:rFonts w:ascii="Arial" w:cs="Arial" w:eastAsia="Arial" w:hAnsi="Arial"/>
          <w:sz w:val="22"/>
          <w:szCs w:val="22"/>
        </w:rPr>
        <w:t xml:space="preserve">Selection state survives sort changes and column re-orderings but is cleared when any filter changes, with a confirmation toast "Selection cleared because filters changed."</w:t>
      </w:r>
    </w:p>
    <w:p>
      <w:pPr>
        <w:pStyle w:val="ListParagraph"/>
        <w:numPr>
          <w:ilvl w:val="0"/>
          <w:numId w:val="2"/>
        </w:numPr>
        <w:spacing w:after="40" w:before="40"/>
      </w:pPr>
      <w:r>
        <w:rPr>
          <w:rFonts w:ascii="Arial" w:cs="Arial" w:eastAsia="Arial" w:hAnsi="Arial"/>
          <w:b/>
          <w:bCs/>
          <w:sz w:val="22"/>
          <w:szCs w:val="22"/>
        </w:rPr>
        <w:t xml:space="preserve">Action bar:</w:t>
      </w:r>
      <w:r>
        <w:rPr>
          <w:rFonts w:ascii="Arial" w:cs="Arial" w:eastAsia="Arial" w:hAnsi="Arial"/>
          <w:sz w:val="22"/>
          <w:szCs w:val="22"/>
        </w:rPr>
        <w:t xml:space="preserve"> When at least one row is selected, a sticky action bar slides up from the bottom of the viewport showing "N cases selected" and a "Reassign…" button. The action bar is dismissible via an X icon (which clears the selection).</w:t>
      </w:r>
    </w:p>
    <w:p>
      <w:pPr>
        <w:pStyle w:val="ListParagraph"/>
        <w:numPr>
          <w:ilvl w:val="0"/>
          <w:numId w:val="2"/>
        </w:numPr>
        <w:spacing w:after="40" w:before="40"/>
      </w:pPr>
      <w:r>
        <w:rPr>
          <w:rFonts w:ascii="Arial" w:cs="Arial" w:eastAsia="Arial" w:hAnsi="Arial"/>
          <w:b/>
          <w:bCs/>
          <w:sz w:val="22"/>
          <w:szCs w:val="22"/>
        </w:rPr>
        <w:t xml:space="preserve">Selection limit:</w:t>
      </w:r>
      <w:r>
        <w:rPr>
          <w:rFonts w:ascii="Arial" w:cs="Arial" w:eastAsia="Arial" w:hAnsi="Arial"/>
          <w:sz w:val="22"/>
          <w:szCs w:val="22"/>
        </w:rPr>
        <w:t xml:space="preserve"> Hard cap of 100 cases per bulk action. Attempting to select a 101st case is silently blocked and the action bar surfaces "Maximum 100 cases per bulk action" in red. Selecting fewer than 100 hides the message.</w:t>
      </w:r>
    </w:p>
    <w:p>
      <w:pPr>
        <w:pStyle w:val="ListParagraph"/>
        <w:numPr>
          <w:ilvl w:val="0"/>
          <w:numId w:val="2"/>
        </w:numPr>
        <w:spacing w:after="40" w:before="40"/>
      </w:pPr>
      <w:r>
        <w:rPr>
          <w:rFonts w:ascii="Arial" w:cs="Arial" w:eastAsia="Arial" w:hAnsi="Arial"/>
          <w:b/>
          <w:bCs/>
          <w:sz w:val="22"/>
          <w:szCs w:val="22"/>
        </w:rPr>
        <w:t xml:space="preserve">Status mix warning:</w:t>
      </w:r>
      <w:r>
        <w:rPr>
          <w:rFonts w:ascii="Arial" w:cs="Arial" w:eastAsia="Arial" w:hAnsi="Arial"/>
          <w:sz w:val="22"/>
          <w:szCs w:val="22"/>
        </w:rPr>
        <w:t xml:space="preserve"> If the selected cases include any RESOLVED or CLOSED_REGULATORY case, render a non-blocking notice in the action bar "Some selected cases are closed and will be skipped." These cases are submitted to the BE but expected to be reported as skipped in the response.</w:t>
      </w:r>
    </w:p>
    <w:p>
      <w:pPr>
        <w:pStyle w:val="Heading2"/>
        <w:spacing w:after="120" w:before="240"/>
      </w:pPr>
      <w:r>
        <w:rPr>
          <w:rFonts w:ascii="Arial" w:cs="Arial" w:eastAsia="Arial" w:hAnsi="Arial"/>
          <w:b/>
          <w:bCs/>
          <w:sz w:val="30"/>
          <w:szCs w:val="30"/>
        </w:rPr>
        <w:t xml:space="preserve">2.2 Reassignment Modal (BCR-FE-2)</w:t>
      </w:r>
    </w:p>
    <w:p>
      <w:pPr>
        <w:spacing w:after="60" w:before="60"/>
      </w:pPr>
      <w:r>
        <w:rPr>
          <w:rFonts w:ascii="Arial" w:cs="Arial" w:eastAsia="Arial" w:hAnsi="Arial"/>
          <w:sz w:val="22"/>
          <w:szCs w:val="22"/>
        </w:rPr>
        <w:t xml:space="preserve">Modal triggered by the Reassign button in the action bar.</w:t>
      </w:r>
    </w:p>
    <w:p>
      <w:pPr>
        <w:pStyle w:val="ListParagraph"/>
        <w:numPr>
          <w:ilvl w:val="0"/>
          <w:numId w:val="2"/>
        </w:numPr>
        <w:spacing w:after="40" w:before="40"/>
      </w:pPr>
      <w:r>
        <w:rPr>
          <w:rFonts w:ascii="Arial" w:cs="Arial" w:eastAsia="Arial" w:hAnsi="Arial"/>
          <w:b/>
          <w:bCs/>
          <w:sz w:val="22"/>
          <w:szCs w:val="22"/>
        </w:rPr>
        <w:t xml:space="preserve">Fields:</w:t>
      </w:r>
    </w:p>
    <w:p>
      <w:pPr>
        <w:pStyle w:val="ListParagraph"/>
        <w:numPr>
          <w:ilvl w:val="1"/>
          <w:numId w:val="2"/>
        </w:numPr>
        <w:spacing w:after="40" w:before="40"/>
      </w:pPr>
      <w:r>
        <w:rPr>
          <w:rFonts w:ascii="Arial" w:cs="Arial" w:eastAsia="Arial" w:hAnsi="Arial"/>
          <w:sz w:val="22"/>
          <w:szCs w:val="22"/>
        </w:rPr>
        <w:t xml:space="preserve">Assignee — required, typeahead user search filtered to users with Analyst role or higher. Self-selection is allowed.</w:t>
      </w:r>
    </w:p>
    <w:p>
      <w:pPr>
        <w:pStyle w:val="ListParagraph"/>
        <w:numPr>
          <w:ilvl w:val="1"/>
          <w:numId w:val="2"/>
        </w:numPr>
        <w:spacing w:after="40" w:before="40"/>
      </w:pPr>
      <w:r>
        <w:rPr>
          <w:rFonts w:ascii="Arial" w:cs="Arial" w:eastAsia="Arial" w:hAnsi="Arial"/>
          <w:sz w:val="22"/>
          <w:szCs w:val="22"/>
        </w:rPr>
        <w:t xml:space="preserve">Reason — required, free text, min 10 chars, max 500.</w:t>
      </w:r>
    </w:p>
    <w:p>
      <w:pPr>
        <w:pStyle w:val="ListParagraph"/>
        <w:numPr>
          <w:ilvl w:val="0"/>
          <w:numId w:val="2"/>
        </w:numPr>
        <w:spacing w:after="40" w:before="40"/>
      </w:pPr>
      <w:r>
        <w:rPr>
          <w:rFonts w:ascii="Arial" w:cs="Arial" w:eastAsia="Arial" w:hAnsi="Arial"/>
          <w:b/>
          <w:bCs/>
          <w:sz w:val="22"/>
          <w:szCs w:val="22"/>
        </w:rPr>
        <w:t xml:space="preserve">Submit behaviour:</w:t>
      </w:r>
    </w:p>
    <w:p>
      <w:pPr>
        <w:pStyle w:val="ListParagraph"/>
        <w:numPr>
          <w:ilvl w:val="1"/>
          <w:numId w:val="2"/>
        </w:numPr>
        <w:spacing w:after="40" w:before="40"/>
      </w:pPr>
      <w:r>
        <w:rPr>
          <w:rFonts w:ascii="Arial" w:cs="Arial" w:eastAsia="Arial" w:hAnsi="Arial"/>
          <w:sz w:val="22"/>
          <w:szCs w:val="22"/>
        </w:rPr>
        <w:t xml:space="preserve">Submit is disabled until both fields are valid. Clicking it disables both fields and shows a spinner with "Reassigning N cases…"</w:t>
      </w:r>
    </w:p>
    <w:p>
      <w:pPr>
        <w:pStyle w:val="ListParagraph"/>
        <w:numPr>
          <w:ilvl w:val="1"/>
          <w:numId w:val="2"/>
        </w:numPr>
        <w:spacing w:after="40" w:before="40"/>
      </w:pPr>
      <w:r>
        <w:rPr>
          <w:rFonts w:ascii="Arial" w:cs="Arial" w:eastAsia="Arial" w:hAnsi="Arial"/>
          <w:sz w:val="22"/>
          <w:szCs w:val="22"/>
        </w:rPr>
        <w:t xml:space="preserve">On HTTP 200 with all cases reassigned successfully → close modal, show success toast "N cases reassigned to &lt;Name&gt;", clear selection, refresh the dashboard.</w:t>
      </w:r>
    </w:p>
    <w:p>
      <w:pPr>
        <w:pStyle w:val="ListParagraph"/>
        <w:numPr>
          <w:ilvl w:val="1"/>
          <w:numId w:val="2"/>
        </w:numPr>
        <w:spacing w:after="40" w:before="40"/>
      </w:pPr>
      <w:r>
        <w:rPr>
          <w:rFonts w:ascii="Arial" w:cs="Arial" w:eastAsia="Arial" w:hAnsi="Arial"/>
          <w:sz w:val="22"/>
          <w:szCs w:val="22"/>
        </w:rPr>
        <w:t xml:space="preserve">On HTTP 207 (multi-status, partial failure) → keep modal open, render an inline result list: each case ID with a green check (reassigned), grey dash (skipped — already closed), or red X (failed, with reason from BE). Show a single "Done" button to dismiss.</w:t>
      </w:r>
    </w:p>
    <w:p>
      <w:pPr>
        <w:pStyle w:val="ListParagraph"/>
        <w:numPr>
          <w:ilvl w:val="1"/>
          <w:numId w:val="2"/>
        </w:numPr>
        <w:spacing w:after="40" w:before="40"/>
      </w:pPr>
      <w:r>
        <w:rPr>
          <w:rFonts w:ascii="Arial" w:cs="Arial" w:eastAsia="Arial" w:hAnsi="Arial"/>
          <w:sz w:val="22"/>
          <w:szCs w:val="22"/>
        </w:rPr>
        <w:t xml:space="preserve">On HTTP 403 → close modal, show error toast "You do not have permission to reassign these cases."</w:t>
      </w:r>
    </w:p>
    <w:p>
      <w:pPr>
        <w:pStyle w:val="ListParagraph"/>
        <w:numPr>
          <w:ilvl w:val="1"/>
          <w:numId w:val="2"/>
        </w:numPr>
        <w:spacing w:after="40" w:before="40"/>
      </w:pPr>
      <w:r>
        <w:rPr>
          <w:rFonts w:ascii="Arial" w:cs="Arial" w:eastAsia="Arial" w:hAnsi="Arial"/>
          <w:sz w:val="22"/>
          <w:szCs w:val="22"/>
        </w:rPr>
        <w:t xml:space="preserve">On HTTP 5xx → keep modal open, show inline error banner "Could not reassign. Try again." with a Retry button. Retry is allowed up to 3 times before disabling for 60s.</w:t>
      </w:r>
    </w:p>
    <w:p>
      <w:pPr>
        <w:pStyle w:val="ListParagraph"/>
        <w:numPr>
          <w:ilvl w:val="0"/>
          <w:numId w:val="2"/>
        </w:numPr>
        <w:spacing w:after="40" w:before="40"/>
      </w:pPr>
      <w:r>
        <w:rPr>
          <w:rFonts w:ascii="Arial" w:cs="Arial" w:eastAsia="Arial" w:hAnsi="Arial"/>
          <w:b/>
          <w:bCs/>
          <w:sz w:val="22"/>
          <w:szCs w:val="22"/>
        </w:rPr>
        <w:t xml:space="preserve">Dismissal:</w:t>
      </w:r>
      <w:r>
        <w:rPr>
          <w:rFonts w:ascii="Arial" w:cs="Arial" w:eastAsia="Arial" w:hAnsi="Arial"/>
          <w:sz w:val="22"/>
          <w:szCs w:val="22"/>
        </w:rPr>
        <w:t xml:space="preserve"> Esc key, X icon, or outside-click closes the modal. If the modal is mid-submission, dismissal is blocked and the icon temporarily renders disabled.</w:t>
      </w:r>
    </w:p>
    <w:p>
      <w:pPr>
        <w:pStyle w:val="Heading2"/>
        <w:spacing w:after="120" w:before="240"/>
      </w:pPr>
      <w:r>
        <w:rPr>
          <w:rFonts w:ascii="Arial" w:cs="Arial" w:eastAsia="Arial" w:hAnsi="Arial"/>
          <w:b/>
          <w:bCs/>
          <w:sz w:val="30"/>
          <w:szCs w:val="30"/>
        </w:rPr>
        <w:t xml:space="preserve">2.3 Bulk Reassignment Endpoint (BCR-BE-1)</w:t>
      </w:r>
    </w:p>
    <w:p>
      <w:pPr>
        <w:spacing w:after="60" w:before="60"/>
      </w:pPr>
      <w:r>
        <w:rPr>
          <w:rFonts w:ascii="Arial" w:cs="Arial" w:eastAsia="Arial" w:hAnsi="Arial"/>
          <w:sz w:val="22"/>
          <w:szCs w:val="22"/>
        </w:rPr>
        <w:t xml:space="preserve">A single new endpoint added to the Case Management Service (RCOC-BE-3).</w:t>
      </w:r>
    </w:p>
    <w:p>
      <w:pPr>
        <w:shd w:fill="F2F2F2" w:val="clear"/>
        <w:spacing w:after="0" w:before="80"/>
      </w:pPr>
      <w:r>
        <w:rPr>
          <w:rFonts w:ascii="Courier New" w:cs="Courier New" w:eastAsia="Courier New" w:hAnsi="Courier New"/>
          <w:sz w:val="20"/>
          <w:szCs w:val="20"/>
        </w:rPr>
        <w:t xml:space="preserve">POST /api/v1/cases/bulk-reassign</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Request:</w:t>
      </w:r>
    </w:p>
    <w:p>
      <w:pPr>
        <w:shd w:fill="F2F2F2" w:val="clear"/>
        <w:spacing w:after="0" w:before="0"/>
      </w:pPr>
      <w:r>
        <w:rPr>
          <w:rFonts w:ascii="Courier New" w:cs="Courier New" w:eastAsia="Courier New" w:hAnsi="Courier New"/>
          <w:sz w:val="20"/>
          <w:szCs w:val="20"/>
        </w:rPr>
        <w:t xml:space="preserve">{</w:t>
      </w:r>
    </w:p>
    <w:p>
      <w:pPr>
        <w:shd w:fill="F2F2F2" w:val="clear"/>
        <w:spacing w:after="0" w:before="0"/>
      </w:pPr>
      <w:r>
        <w:rPr>
          <w:rFonts w:ascii="Courier New" w:cs="Courier New" w:eastAsia="Courier New" w:hAnsi="Courier New"/>
          <w:sz w:val="20"/>
          <w:szCs w:val="20"/>
        </w:rPr>
        <w:t xml:space="preserve">  "caseIds":   ["&lt;uuid&gt;", ...],   // 1..100</w:t>
      </w:r>
    </w:p>
    <w:p>
      <w:pPr>
        <w:shd w:fill="F2F2F2" w:val="clear"/>
        <w:spacing w:after="0" w:before="0"/>
      </w:pPr>
      <w:r>
        <w:rPr>
          <w:rFonts w:ascii="Courier New" w:cs="Courier New" w:eastAsia="Courier New" w:hAnsi="Courier New"/>
          <w:sz w:val="20"/>
          <w:szCs w:val="20"/>
        </w:rPr>
        <w:t xml:space="preserve">  "assigneeId": &lt;int&gt;,</w:t>
      </w:r>
    </w:p>
    <w:p>
      <w:pPr>
        <w:shd w:fill="F2F2F2" w:val="clear"/>
        <w:spacing w:after="0" w:before="0"/>
      </w:pPr>
      <w:r>
        <w:rPr>
          <w:rFonts w:ascii="Courier New" w:cs="Courier New" w:eastAsia="Courier New" w:hAnsi="Courier New"/>
          <w:sz w:val="20"/>
          <w:szCs w:val="20"/>
        </w:rPr>
        <w:t xml:space="preserve">  "reason":    "&lt;string, 10..500 chars&gt;"</w:t>
      </w:r>
    </w:p>
    <w:p>
      <w:pPr>
        <w:shd w:fill="F2F2F2" w:val="clear"/>
        <w:spacing w:after="0" w:before="0"/>
      </w:pPr>
      <w:r>
        <w:rPr>
          <w:rFonts w:ascii="Courier New" w:cs="Courier New" w:eastAsia="Courier New" w:hAnsi="Courier New"/>
          <w:sz w:val="20"/>
          <w:szCs w:val="20"/>
        </w:rPr>
        <w:t xml:space="preserve">}</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200 OK   — all cases reassigned successfully</w:t>
      </w:r>
    </w:p>
    <w:p>
      <w:pPr>
        <w:shd w:fill="F2F2F2" w:val="clear"/>
        <w:spacing w:after="0" w:before="0"/>
      </w:pPr>
      <w:r>
        <w:rPr>
          <w:rFonts w:ascii="Courier New" w:cs="Courier New" w:eastAsia="Courier New" w:hAnsi="Courier New"/>
          <w:sz w:val="20"/>
          <w:szCs w:val="20"/>
        </w:rPr>
        <w:t xml:space="preserve">207 MULTI_STATUS — partial success; see results[] below</w:t>
      </w:r>
    </w:p>
    <w:p>
      <w:pPr>
        <w:shd w:fill="F2F2F2" w:val="clear"/>
        <w:spacing w:after="0" w:before="0"/>
      </w:pPr>
      <w:r>
        <w:rPr>
          <w:rFonts w:ascii="Courier New" w:cs="Courier New" w:eastAsia="Courier New" w:hAnsi="Courier New"/>
          <w:sz w:val="20"/>
          <w:szCs w:val="20"/>
        </w:rPr>
        <w:t xml:space="preserve">400 VALIDATION_ERROR — request shape invalid</w:t>
      </w:r>
    </w:p>
    <w:p>
      <w:pPr>
        <w:shd w:fill="F2F2F2" w:val="clear"/>
        <w:spacing w:after="0" w:before="0"/>
      </w:pPr>
      <w:r>
        <w:rPr>
          <w:rFonts w:ascii="Courier New" w:cs="Courier New" w:eastAsia="Courier New" w:hAnsi="Courier New"/>
          <w:sz w:val="20"/>
          <w:szCs w:val="20"/>
        </w:rPr>
        <w:t xml:space="preserve">403 INSUFFICIENT_ROLE — caller is not Supervisor+</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Response body (200 and 207):</w:t>
      </w:r>
    </w:p>
    <w:p>
      <w:pPr>
        <w:shd w:fill="F2F2F2" w:val="clear"/>
        <w:spacing w:after="0" w:before="0"/>
      </w:pPr>
      <w:r>
        <w:rPr>
          <w:rFonts w:ascii="Courier New" w:cs="Courier New" w:eastAsia="Courier New" w:hAnsi="Courier New"/>
          <w:sz w:val="20"/>
          <w:szCs w:val="20"/>
        </w:rPr>
        <w:t xml:space="preserve">{</w:t>
      </w:r>
    </w:p>
    <w:p>
      <w:pPr>
        <w:shd w:fill="F2F2F2" w:val="clear"/>
        <w:spacing w:after="0" w:before="0"/>
      </w:pPr>
      <w:r>
        <w:rPr>
          <w:rFonts w:ascii="Courier New" w:cs="Courier New" w:eastAsia="Courier New" w:hAnsi="Courier New"/>
          <w:sz w:val="20"/>
          <w:szCs w:val="20"/>
        </w:rPr>
        <w:t xml:space="preserve">  "results": [</w:t>
      </w:r>
    </w:p>
    <w:p>
      <w:pPr>
        <w:shd w:fill="F2F2F2" w:val="clear"/>
        <w:spacing w:after="0" w:before="0"/>
      </w:pPr>
      <w:r>
        <w:rPr>
          <w:rFonts w:ascii="Courier New" w:cs="Courier New" w:eastAsia="Courier New" w:hAnsi="Courier New"/>
          <w:sz w:val="20"/>
          <w:szCs w:val="20"/>
        </w:rPr>
        <w:t xml:space="preserve">    { "caseId": "&lt;uuid&gt;", "outcome": "REASSIGNED" },</w:t>
      </w:r>
    </w:p>
    <w:p>
      <w:pPr>
        <w:shd w:fill="F2F2F2" w:val="clear"/>
        <w:spacing w:after="0" w:before="0"/>
      </w:pPr>
      <w:r>
        <w:rPr>
          <w:rFonts w:ascii="Courier New" w:cs="Courier New" w:eastAsia="Courier New" w:hAnsi="Courier New"/>
          <w:sz w:val="20"/>
          <w:szCs w:val="20"/>
        </w:rPr>
        <w:t xml:space="preserve">    { "caseId": "&lt;uuid&gt;", "outcome": "SKIPPED",  "reason": "CASE_CLOSED" },</w:t>
      </w:r>
    </w:p>
    <w:p>
      <w:pPr>
        <w:shd w:fill="F2F2F2" w:val="clear"/>
        <w:spacing w:after="0" w:before="0"/>
      </w:pPr>
      <w:r>
        <w:rPr>
          <w:rFonts w:ascii="Courier New" w:cs="Courier New" w:eastAsia="Courier New" w:hAnsi="Courier New"/>
          <w:sz w:val="20"/>
          <w:szCs w:val="20"/>
        </w:rPr>
        <w:t xml:space="preserve">    { "caseId": "&lt;uuid&gt;", "outcome": "FAILED",   "reason": "VERSION_CONFLICT" }</w:t>
      </w:r>
    </w:p>
    <w:p>
      <w:pPr>
        <w:shd w:fill="F2F2F2" w:val="clear"/>
        <w:spacing w:after="0" w:before="0"/>
      </w:pPr>
      <w:r>
        <w:rPr>
          <w:rFonts w:ascii="Courier New" w:cs="Courier New" w:eastAsia="Courier New" w:hAnsi="Courier New"/>
          <w:sz w:val="20"/>
          <w:szCs w:val="20"/>
        </w:rPr>
        <w:t xml:space="preserve">  ]</w:t>
      </w:r>
    </w:p>
    <w:p>
      <w:pPr>
        <w:shd w:fill="F2F2F2" w:val="clear"/>
        <w:spacing w:after="80" w:before="0"/>
      </w:pPr>
      <w:r>
        <w:rPr>
          <w:rFonts w:ascii="Courier New" w:cs="Courier New" w:eastAsia="Courier New" w:hAnsi="Courier New"/>
          <w:sz w:val="20"/>
          <w:szCs w:val="20"/>
        </w:rPr>
        <w:t xml:space="preserve">}</w:t>
      </w:r>
    </w:p>
    <w:p>
      <w:pPr>
        <w:pStyle w:val="ListParagraph"/>
        <w:numPr>
          <w:ilvl w:val="0"/>
          <w:numId w:val="2"/>
        </w:numPr>
        <w:spacing w:after="40" w:before="40"/>
      </w:pPr>
      <w:r>
        <w:rPr>
          <w:rFonts w:ascii="Arial" w:cs="Arial" w:eastAsia="Arial" w:hAnsi="Arial"/>
          <w:b/>
          <w:bCs/>
          <w:sz w:val="22"/>
          <w:szCs w:val="22"/>
        </w:rPr>
        <w:t xml:space="preserve">Per-case outcomes:</w:t>
      </w:r>
    </w:p>
    <w:p>
      <w:pPr>
        <w:pStyle w:val="ListParagraph"/>
        <w:numPr>
          <w:ilvl w:val="1"/>
          <w:numId w:val="2"/>
        </w:numPr>
        <w:spacing w:after="40" w:before="40"/>
      </w:pPr>
      <w:r>
        <w:rPr>
          <w:rFonts w:ascii="Arial" w:cs="Arial" w:eastAsia="Arial" w:hAnsi="Arial"/>
          <w:sz w:val="22"/>
          <w:szCs w:val="22"/>
        </w:rPr>
        <w:t xml:space="preserve">REASSIGNED — case successfully reassigned; one row written to Compliance.tblCaseTransition with ToStatus unchanged and a new AssignedTo value.</w:t>
      </w:r>
    </w:p>
    <w:p>
      <w:pPr>
        <w:pStyle w:val="ListParagraph"/>
        <w:numPr>
          <w:ilvl w:val="1"/>
          <w:numId w:val="2"/>
        </w:numPr>
        <w:spacing w:after="40" w:before="40"/>
      </w:pPr>
      <w:r>
        <w:rPr>
          <w:rFonts w:ascii="Arial" w:cs="Arial" w:eastAsia="Arial" w:hAnsi="Arial"/>
          <w:sz w:val="22"/>
          <w:szCs w:val="22"/>
        </w:rPr>
        <w:t xml:space="preserve">SKIPPED — case is in RESOLVED or CLOSED_REGULATORY state; no change made, no audit row written.</w:t>
      </w:r>
    </w:p>
    <w:p>
      <w:pPr>
        <w:pStyle w:val="ListParagraph"/>
        <w:numPr>
          <w:ilvl w:val="1"/>
          <w:numId w:val="2"/>
        </w:numPr>
        <w:spacing w:after="40" w:before="40"/>
      </w:pPr>
      <w:r>
        <w:rPr>
          <w:rFonts w:ascii="Arial" w:cs="Arial" w:eastAsia="Arial" w:hAnsi="Arial"/>
          <w:sz w:val="22"/>
          <w:szCs w:val="22"/>
        </w:rPr>
        <w:t xml:space="preserve">FAILED — case could not be reassigned for any other reason (VERSION_CONFLICT, NOT_FOUND, etc.) with a human-readable reason code.</w:t>
      </w:r>
    </w:p>
    <w:p>
      <w:pPr>
        <w:pStyle w:val="ListParagraph"/>
        <w:numPr>
          <w:ilvl w:val="0"/>
          <w:numId w:val="2"/>
        </w:numPr>
        <w:spacing w:after="40" w:before="40"/>
      </w:pPr>
      <w:r>
        <w:rPr>
          <w:rFonts w:ascii="Arial" w:cs="Arial" w:eastAsia="Arial" w:hAnsi="Arial"/>
          <w:b/>
          <w:bCs/>
          <w:sz w:val="22"/>
          <w:szCs w:val="22"/>
        </w:rPr>
        <w:t xml:space="preserve">Atomicity:</w:t>
      </w:r>
      <w:r>
        <w:rPr>
          <w:rFonts w:ascii="Arial" w:cs="Arial" w:eastAsia="Arial" w:hAnsi="Arial"/>
          <w:sz w:val="22"/>
          <w:szCs w:val="22"/>
        </w:rPr>
        <w:t xml:space="preserve"> Each case is processed independently in its own transaction. There is no all-or-nothing semantic. A 207 response is the normal outcome whenever the selected set contains a mix.</w:t>
      </w:r>
    </w:p>
    <w:p>
      <w:pPr>
        <w:pStyle w:val="ListParagraph"/>
        <w:numPr>
          <w:ilvl w:val="0"/>
          <w:numId w:val="2"/>
        </w:numPr>
        <w:spacing w:after="40" w:before="40"/>
      </w:pPr>
      <w:r>
        <w:rPr>
          <w:rFonts w:ascii="Arial" w:cs="Arial" w:eastAsia="Arial" w:hAnsi="Arial"/>
          <w:b/>
          <w:bCs/>
          <w:sz w:val="22"/>
          <w:szCs w:val="22"/>
        </w:rPr>
        <w:t xml:space="preserve">Audit:</w:t>
      </w:r>
      <w:r>
        <w:rPr>
          <w:rFonts w:ascii="Arial" w:cs="Arial" w:eastAsia="Arial" w:hAnsi="Arial"/>
          <w:sz w:val="22"/>
          <w:szCs w:val="22"/>
        </w:rPr>
        <w:t xml:space="preserve"> Every REASSIGNED outcome produces exactly one row in Compliance.tblCaseTransition with the same ActorID, RoleAtTime, IPAddress, UserAgent, and a single shared RequestPayloadHash for the whole bulk request (so all rows from one action can be reconstructed).</w:t>
      </w:r>
    </w:p>
    <w:p>
      <w:pPr>
        <w:pStyle w:val="Heading1"/>
        <w:spacing w:after="160" w:before="280"/>
      </w:pPr>
      <w:r>
        <w:rPr>
          <w:rFonts w:ascii="Arial" w:cs="Arial" w:eastAsia="Arial" w:hAnsi="Arial"/>
          <w:b/>
          <w:bCs/>
          <w:sz w:val="36"/>
          <w:szCs w:val="36"/>
        </w:rPr>
        <w:t xml:space="preserve">3. Functional Requirements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800"/>
        <w:gridCol w:w="4360"/>
      </w:tblGrid>
      <w:tr>
        <w:tc>
          <w:tcPr>
            <w:tcW w:type="dxa" w:w="1400"/>
            <w:tcBorders>
              <w:top w:val="single" w:color="B0B0B0" w:sz="4"/>
              <w:left w:val="single" w:color="B0B0B0" w:sz="4"/>
              <w:bottom w:val="single" w:color="B0B0B0" w:sz="4"/>
              <w:right w:val="single" w:color="B0B0B0" w:sz="4"/>
            </w:tcBorders>
            <w:shd w:fill="D9E2F3" w:val="clear"/>
            <w:tcMar>
              <w:top w:type="dxa" w:w="100"/>
              <w:left w:type="dxa" w:w="140"/>
              <w:bottom w:type="dxa" w:w="100"/>
              <w:right w:type="dxa" w:w="140"/>
            </w:tcMar>
          </w:tcPr>
          <w:p>
            <w:r>
              <w:rPr>
                <w:rFonts w:ascii="Arial" w:cs="Arial" w:eastAsia="Arial" w:hAnsi="Arial"/>
                <w:b/>
                <w:bCs/>
                <w:sz w:val="22"/>
                <w:szCs w:val="22"/>
              </w:rPr>
              <w:t xml:space="preserve">ID</w:t>
            </w:r>
          </w:p>
        </w:tc>
        <w:tc>
          <w:tcPr>
            <w:tcW w:type="dxa" w:w="800"/>
            <w:tcBorders>
              <w:top w:val="single" w:color="B0B0B0" w:sz="4"/>
              <w:left w:val="single" w:color="B0B0B0" w:sz="4"/>
              <w:bottom w:val="single" w:color="B0B0B0" w:sz="4"/>
              <w:right w:val="single" w:color="B0B0B0" w:sz="4"/>
            </w:tcBorders>
            <w:shd w:fill="D9E2F3" w:val="clear"/>
            <w:tcMar>
              <w:top w:type="dxa" w:w="100"/>
              <w:left w:type="dxa" w:w="140"/>
              <w:bottom w:type="dxa" w:w="100"/>
              <w:right w:type="dxa" w:w="140"/>
            </w:tcMar>
          </w:tcPr>
          <w:p>
            <w:r>
              <w:rPr>
                <w:rFonts w:ascii="Arial" w:cs="Arial" w:eastAsia="Arial" w:hAnsi="Arial"/>
                <w:b/>
                <w:bCs/>
                <w:sz w:val="22"/>
                <w:szCs w:val="22"/>
              </w:rPr>
              <w:t xml:space="preserve">Layer</w:t>
            </w:r>
          </w:p>
        </w:tc>
        <w:tc>
          <w:tcPr>
            <w:tcW w:type="dxa" w:w="2800"/>
            <w:tcBorders>
              <w:top w:val="single" w:color="B0B0B0" w:sz="4"/>
              <w:left w:val="single" w:color="B0B0B0" w:sz="4"/>
              <w:bottom w:val="single" w:color="B0B0B0" w:sz="4"/>
              <w:right w:val="single" w:color="B0B0B0" w:sz="4"/>
            </w:tcBorders>
            <w:shd w:fill="D9E2F3" w:val="clear"/>
            <w:tcMar>
              <w:top w:type="dxa" w:w="100"/>
              <w:left w:type="dxa" w:w="140"/>
              <w:bottom w:type="dxa" w:w="100"/>
              <w:right w:type="dxa" w:w="140"/>
            </w:tcMar>
          </w:tcPr>
          <w:p>
            <w:r>
              <w:rPr>
                <w:rFonts w:ascii="Arial" w:cs="Arial" w:eastAsia="Arial" w:hAnsi="Arial"/>
                <w:b/>
                <w:bCs/>
                <w:sz w:val="22"/>
                <w:szCs w:val="22"/>
              </w:rPr>
              <w:t xml:space="preserve">Component</w:t>
            </w:r>
          </w:p>
        </w:tc>
        <w:tc>
          <w:tcPr>
            <w:tcW w:type="dxa" w:w="4360"/>
            <w:tcBorders>
              <w:top w:val="single" w:color="B0B0B0" w:sz="4"/>
              <w:left w:val="single" w:color="B0B0B0" w:sz="4"/>
              <w:bottom w:val="single" w:color="B0B0B0" w:sz="4"/>
              <w:right w:val="single" w:color="B0B0B0" w:sz="4"/>
            </w:tcBorders>
            <w:shd w:fill="D9E2F3" w:val="clear"/>
            <w:tcMar>
              <w:top w:type="dxa" w:w="100"/>
              <w:left w:type="dxa" w:w="140"/>
              <w:bottom w:type="dxa" w:w="100"/>
              <w:right w:type="dxa" w:w="140"/>
            </w:tcMar>
          </w:tcPr>
          <w:p>
            <w:r>
              <w:rPr>
                <w:rFonts w:ascii="Arial" w:cs="Arial" w:eastAsia="Arial" w:hAnsi="Arial"/>
                <w:b/>
                <w:bCs/>
                <w:sz w:val="22"/>
                <w:szCs w:val="22"/>
              </w:rPr>
              <w:t xml:space="preserve">Requirement</w:t>
            </w:r>
          </w:p>
        </w:tc>
      </w:tr>
      <w:tr>
        <w:tc>
          <w:tcPr>
            <w:tcW w:type="dxa" w:w="14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Arial" w:cs="Arial" w:eastAsia="Arial" w:hAnsi="Arial"/>
                <w:sz w:val="22"/>
                <w:szCs w:val="22"/>
              </w:rPr>
              <w:t xml:space="preserve">BCR-FE-1</w:t>
            </w:r>
          </w:p>
        </w:tc>
        <w:tc>
          <w:tcPr>
            <w:tcW w:type="dxa" w:w="8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Arial" w:cs="Arial" w:eastAsia="Arial" w:hAnsi="Arial"/>
                <w:sz w:val="22"/>
                <w:szCs w:val="22"/>
              </w:rPr>
              <w:t xml:space="preserve">FE</w:t>
            </w:r>
          </w:p>
        </w:tc>
        <w:tc>
          <w:tcPr>
            <w:tcW w:type="dxa" w:w="28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Arial" w:cs="Arial" w:eastAsia="Arial" w:hAnsi="Arial"/>
                <w:sz w:val="22"/>
                <w:szCs w:val="22"/>
              </w:rPr>
              <w:t xml:space="preserve">Multi-Select Mode</w:t>
            </w:r>
          </w:p>
        </w:tc>
        <w:tc>
          <w:tcPr>
            <w:tcW w:type="dxa" w:w="43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Arial" w:cs="Arial" w:eastAsia="Arial" w:hAnsi="Arial"/>
                <w:sz w:val="22"/>
                <w:szCs w:val="22"/>
              </w:rPr>
              <w:t xml:space="preserve">Enable row selection on the dashboard with Supervisor+ role gating.</w:t>
            </w:r>
          </w:p>
        </w:tc>
      </w:tr>
      <w:tr>
        <w:tc>
          <w:tcPr>
            <w:tcW w:type="dxa" w:w="14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Arial" w:cs="Arial" w:eastAsia="Arial" w:hAnsi="Arial"/>
                <w:sz w:val="22"/>
                <w:szCs w:val="22"/>
              </w:rPr>
              <w:t xml:space="preserve">BCR-FE-2</w:t>
            </w:r>
          </w:p>
        </w:tc>
        <w:tc>
          <w:tcPr>
            <w:tcW w:type="dxa" w:w="8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Arial" w:cs="Arial" w:eastAsia="Arial" w:hAnsi="Arial"/>
                <w:sz w:val="22"/>
                <w:szCs w:val="22"/>
              </w:rPr>
              <w:t xml:space="preserve">FE</w:t>
            </w:r>
          </w:p>
        </w:tc>
        <w:tc>
          <w:tcPr>
            <w:tcW w:type="dxa" w:w="28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Arial" w:cs="Arial" w:eastAsia="Arial" w:hAnsi="Arial"/>
                <w:sz w:val="22"/>
                <w:szCs w:val="22"/>
              </w:rPr>
              <w:t xml:space="preserve">Reassignment Modal</w:t>
            </w:r>
          </w:p>
        </w:tc>
        <w:tc>
          <w:tcPr>
            <w:tcW w:type="dxa" w:w="43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Arial" w:cs="Arial" w:eastAsia="Arial" w:hAnsi="Arial"/>
                <w:sz w:val="22"/>
                <w:szCs w:val="22"/>
              </w:rPr>
              <w:t xml:space="preserve">Capture target assignee and reason; handle partial-failure responses.</w:t>
            </w:r>
          </w:p>
        </w:tc>
      </w:tr>
      <w:tr>
        <w:tc>
          <w:tcPr>
            <w:tcW w:type="dxa" w:w="14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Arial" w:cs="Arial" w:eastAsia="Arial" w:hAnsi="Arial"/>
                <w:sz w:val="22"/>
                <w:szCs w:val="22"/>
              </w:rPr>
              <w:t xml:space="preserve">BCR-BE-1</w:t>
            </w:r>
          </w:p>
        </w:tc>
        <w:tc>
          <w:tcPr>
            <w:tcW w:type="dxa" w:w="8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Arial" w:cs="Arial" w:eastAsia="Arial" w:hAnsi="Arial"/>
                <w:sz w:val="22"/>
                <w:szCs w:val="22"/>
              </w:rPr>
              <w:t xml:space="preserve">BE</w:t>
            </w:r>
          </w:p>
        </w:tc>
        <w:tc>
          <w:tcPr>
            <w:tcW w:type="dxa" w:w="28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Arial" w:cs="Arial" w:eastAsia="Arial" w:hAnsi="Arial"/>
                <w:sz w:val="22"/>
                <w:szCs w:val="22"/>
              </w:rPr>
              <w:t xml:space="preserve">Bulk Reassignment Endpoint</w:t>
            </w:r>
          </w:p>
        </w:tc>
        <w:tc>
          <w:tcPr>
            <w:tcW w:type="dxa" w:w="43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Arial" w:cs="Arial" w:eastAsia="Arial" w:hAnsi="Arial"/>
                <w:sz w:val="22"/>
                <w:szCs w:val="22"/>
              </w:rPr>
              <w:t xml:space="preserve">Atomically reassign up to 100 cases per request with per-case result reporting.</w:t>
            </w:r>
          </w:p>
        </w:tc>
      </w:tr>
    </w:tbl>
    <w:p>
      <w:pPr>
        <w:pStyle w:val="Heading1"/>
        <w:spacing w:after="160" w:before="280"/>
      </w:pPr>
      <w:r>
        <w:rPr>
          <w:rFonts w:ascii="Arial" w:cs="Arial" w:eastAsia="Arial" w:hAnsi="Arial"/>
          <w:b/>
          <w:bCs/>
          <w:sz w:val="36"/>
          <w:szCs w:val="36"/>
        </w:rPr>
        <w:t xml:space="preserve">4. Success Metrics (KPIs)</w:t>
      </w:r>
    </w:p>
    <w:p>
      <w:pPr>
        <w:pStyle w:val="ListParagraph"/>
        <w:numPr>
          <w:ilvl w:val="0"/>
          <w:numId w:val="2"/>
        </w:numPr>
        <w:spacing w:after="40" w:before="40"/>
      </w:pPr>
      <w:r>
        <w:rPr>
          <w:rFonts w:ascii="Arial" w:cs="Arial" w:eastAsia="Arial" w:hAnsi="Arial"/>
          <w:b/>
          <w:bCs/>
          <w:sz w:val="22"/>
          <w:szCs w:val="22"/>
        </w:rPr>
        <w:t xml:space="preserve">Median bulk reassignment time:</w:t>
      </w:r>
      <w:r>
        <w:rPr>
          <w:rFonts w:ascii="Arial" w:cs="Arial" w:eastAsia="Arial" w:hAnsi="Arial"/>
          <w:sz w:val="22"/>
          <w:szCs w:val="22"/>
        </w:rPr>
        <w:t xml:space="preserve"> Time from "Reassign…" click to success toast. Target: &lt; 5 seconds for 50 cases.</w:t>
      </w:r>
    </w:p>
    <w:p>
      <w:pPr>
        <w:pStyle w:val="ListParagraph"/>
        <w:numPr>
          <w:ilvl w:val="0"/>
          <w:numId w:val="2"/>
        </w:numPr>
        <w:spacing w:after="40" w:before="40"/>
      </w:pPr>
      <w:r>
        <w:rPr>
          <w:rFonts w:ascii="Arial" w:cs="Arial" w:eastAsia="Arial" w:hAnsi="Arial"/>
          <w:b/>
          <w:bCs/>
          <w:sz w:val="22"/>
          <w:szCs w:val="22"/>
        </w:rPr>
        <w:t xml:space="preserve">Adoption:</w:t>
      </w:r>
      <w:r>
        <w:rPr>
          <w:rFonts w:ascii="Arial" w:cs="Arial" w:eastAsia="Arial" w:hAnsi="Arial"/>
          <w:sz w:val="22"/>
          <w:szCs w:val="22"/>
        </w:rPr>
        <w:t xml:space="preserve"> &gt; 40% of all reassignments performed via bulk action within 30 days of release.</w:t>
      </w:r>
    </w:p>
    <w:p>
      <w:pPr>
        <w:pStyle w:val="ListParagraph"/>
        <w:numPr>
          <w:ilvl w:val="0"/>
          <w:numId w:val="2"/>
        </w:numPr>
        <w:spacing w:after="40" w:before="40"/>
      </w:pPr>
      <w:r>
        <w:rPr>
          <w:rFonts w:ascii="Arial" w:cs="Arial" w:eastAsia="Arial" w:hAnsi="Arial"/>
          <w:b/>
          <w:bCs/>
          <w:sz w:val="22"/>
          <w:szCs w:val="22"/>
        </w:rPr>
        <w:t xml:space="preserve">Error rate:</w:t>
      </w:r>
      <w:r>
        <w:rPr>
          <w:rFonts w:ascii="Arial" w:cs="Arial" w:eastAsia="Arial" w:hAnsi="Arial"/>
          <w:sz w:val="22"/>
          <w:szCs w:val="22"/>
        </w:rPr>
        <w:t xml:space="preserve"> &lt; 1% of bulk requests return HTTP 5xx.</w:t>
      </w:r>
    </w:p>
    <w:p>
      <w:pPr>
        <w:pStyle w:val="Heading1"/>
        <w:spacing w:after="160" w:before="280"/>
      </w:pPr>
      <w:r>
        <w:rPr>
          <w:rFonts w:ascii="Arial" w:cs="Arial" w:eastAsia="Arial" w:hAnsi="Arial"/>
          <w:b/>
          <w:bCs/>
          <w:sz w:val="36"/>
          <w:szCs w:val="36"/>
        </w:rPr>
        <w:t xml:space="preserve">5. Implementation Notes</w:t>
      </w:r>
    </w:p>
    <w:p>
      <w:pPr>
        <w:pBdr>
          <w:left w:val="single" w:color="E0A800" w:sz="18" w:space="8"/>
        </w:pBdr>
        <w:shd w:fill="FFF4CE" w:val="clear"/>
        <w:spacing w:after="160" w:before="160"/>
        <w:ind w:left="240"/>
      </w:pPr>
      <w:r>
        <w:rPr>
          <w:rFonts w:ascii="Arial" w:cs="Arial" w:eastAsia="Arial" w:hAnsi="Arial"/>
          <w:b/>
          <w:bCs/>
          <w:color w:val="8A6D00"/>
          <w:sz w:val="22"/>
          <w:szCs w:val="22"/>
        </w:rPr>
        <w:t xml:space="preserve">IMPORTANT — </w:t>
      </w:r>
      <w:r>
        <w:rPr>
          <w:rFonts w:ascii="Arial" w:cs="Arial" w:eastAsia="Arial" w:hAnsi="Arial"/>
          <w:sz w:val="22"/>
          <w:szCs w:val="22"/>
        </w:rPr>
        <w:t xml:space="preserve">207 is the normal response when the set is mixed. The FE must NOT treat 207 as an error; it is the expected shape for partial outcomes. Only 4xx and 5xx are error states.</w:t>
      </w:r>
    </w:p>
    <w:p>
      <w:pPr>
        <w:pBdr>
          <w:left w:val="single" w:color="E0A800" w:sz="18" w:space="8"/>
        </w:pBdr>
        <w:shd w:fill="FFF4CE" w:val="clear"/>
        <w:spacing w:after="160" w:before="160"/>
        <w:ind w:left="240"/>
      </w:pPr>
      <w:r>
        <w:rPr>
          <w:rFonts w:ascii="Arial" w:cs="Arial" w:eastAsia="Arial" w:hAnsi="Arial"/>
          <w:b/>
          <w:bCs/>
          <w:color w:val="8A6D00"/>
          <w:sz w:val="22"/>
          <w:szCs w:val="22"/>
        </w:rPr>
        <w:t xml:space="preserve">IMPORTANT — </w:t>
      </w:r>
      <w:r>
        <w:rPr>
          <w:rFonts w:ascii="Arial" w:cs="Arial" w:eastAsia="Arial" w:hAnsi="Arial"/>
          <w:sz w:val="22"/>
          <w:szCs w:val="22"/>
        </w:rPr>
        <w:t xml:space="preserve">The audit row count must equal the count of REASSIGNED outcomes — never the count of submitted caseIds. SKIPPED cases must not produce audit rows.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30"/>
      <w:szCs w:val="30"/>
    </w:rPr>
  </w:style>
  <w:style w:type="paragraph" w:styleId="Heading3">
    <w:name w:val="Heading 3"/>
    <w:basedOn w:val="Normal"/>
    <w:next w:val="Normal"/>
    <w:qFormat/>
    <w:pPr>
      <w:spacing w:after="10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2026-05-26T16:00:07.950Z</dcterms:created>
  <dcterms:modified xsi:type="dcterms:W3CDTF">2026-05-26T16:00:07.963Z</dcterms:modified>
</cp:coreProperties>
</file>

<file path=docProps/custom.xml><?xml version="1.0" encoding="utf-8"?>
<Properties xmlns="http://schemas.openxmlformats.org/officeDocument/2006/custom-properties" xmlns:vt="http://schemas.openxmlformats.org/officeDocument/2006/docPropsVTypes"/>
</file>