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40"/>
        </w:rPr>
        <w:t>EXECUTIVE INSIGHTS &amp; BUSINESS ROI REPORT</w:t>
      </w:r>
    </w:p>
    <w:p>
      <w:pPr>
        <w:jc w:val="center"/>
      </w:pPr>
      <w:r>
        <w:rPr>
          <w:rFonts w:ascii="Calibri" w:hAnsi="Calibri"/>
          <w:i/>
          <w:color w:val="5C768D"/>
          <w:sz w:val="28"/>
        </w:rPr>
        <w:t>Hospital Operations &amp; Revenue Risk Intelligence Platform</w:t>
      </w:r>
    </w:p>
    <w:p>
      <w:pPr>
        <w:jc w:val="center"/>
      </w:pPr>
      <w:r>
        <w:rPr>
          <w:color w:val="777777"/>
          <w:sz w:val="19"/>
        </w:rPr>
        <w:t>Prepared for: Hospital Network Executive Leadership</w:t>
        <w:br/>
        <w:t>Prepared by: AI &amp; ML Capstone Group</w:t>
        <w:br/>
        <w:t>Date: June 21, 2026</w:t>
        <w:br/>
        <w:t>Status: Leadership Ready</w:t>
      </w:r>
    </w:p>
    <w:p>
      <w:pPr>
        <w:spacing w:after="480"/>
      </w:pPr>
    </w:p>
    <w:p>
      <w:pPr>
        <w:keepNext/>
        <w:spacing w:before="360" w:after="120"/>
      </w:pPr>
      <w:r>
        <w:rPr>
          <w:rFonts w:ascii="Calibri" w:hAnsi="Calibri"/>
          <w:b/>
          <w:color w:val="1B365D"/>
          <w:sz w:val="28"/>
        </w:rPr>
        <w:t>1. Executive Business Narrative &amp; Problem Framing</w:t>
      </w:r>
    </w:p>
    <w:p>
      <w:pPr>
        <w:spacing w:after="200"/>
      </w:pPr>
      <w:r>
        <w:t>Modern multi-specialty hospital networks operate under thin margins and intense workload conditions. Leadership faces two structural challenges that directly threaten organizational health: clinical/operational bottlenecks and revenue leakage. Inefficient patient flow leads to ICU/ER overcrowding, increased length of stay (LoS), and staff fatigue. Simultaneously, insurance claim rejections and payment delays restrict the cash flow necessary to fund operations.</w:t>
      </w:r>
    </w:p>
    <w:p>
      <w:pPr>
        <w:spacing w:after="240"/>
      </w:pPr>
      <w:r>
        <w:t>To address these challenges, we designed and built the Hospital Operations &amp; Revenue Risk Intelligence Platform. Driven by clean SQL data structures and advanced tree-based machine learning classifiers (Random Forest and LightGBM), the platform delivers predictive insights. It identifies clinical risk at patient admission and flags high-risk claim rejections prior to billing submission, transforming the hospital's operational model from reactive troubleshooting to proactive management.</w:t>
      </w:r>
    </w:p>
    <w:p>
      <w:pPr>
        <w:keepNext/>
        <w:spacing w:before="360" w:after="120"/>
      </w:pPr>
      <w:r>
        <w:rPr>
          <w:rFonts w:ascii="Calibri" w:hAnsi="Calibri"/>
          <w:b/>
          <w:color w:val="1B365D"/>
          <w:sz w:val="28"/>
        </w:rPr>
        <w:t>2. Key Operational &amp; Financial Insights</w:t>
      </w:r>
    </w:p>
    <w:p>
      <w:pPr>
        <w:spacing w:after="120"/>
      </w:pPr>
      <w:r>
        <w:t>Through data profiling and structured SQL audits across 5,000 patient records and 25,000 hospital encounters, we identified key trends:</w:t>
      </w:r>
    </w:p>
    <w:p>
      <w:pPr>
        <w:pStyle w:val="ListBullet"/>
        <w:spacing w:after="80"/>
      </w:pPr>
      <w:r>
        <w:rPr>
          <w:b/>
        </w:rPr>
        <w:t xml:space="preserve">Clinical Volume &amp; Bottlenecks: </w:t>
      </w:r>
      <w:r>
        <w:t>The General and ER departments handle the highest visit volumes, but the ICU and Neurology departments exhibit the longest average length of stay (averaging over 24 hours per encounter), highlighting resource planning constraints.</w:t>
      </w:r>
    </w:p>
    <w:p>
      <w:pPr>
        <w:pStyle w:val="ListBullet"/>
        <w:spacing w:after="80"/>
      </w:pPr>
      <w:r>
        <w:rPr>
          <w:b/>
        </w:rPr>
        <w:t xml:space="preserve">Regional Demand: </w:t>
      </w:r>
      <w:r>
        <w:t>Patient encounter distribution is uniform across cities (Bangalore, Chennai, Delhi, Hyderabad, Mumbai, Pune), confirming stable regional demand and verifying the network's local market penetration.</w:t>
      </w:r>
    </w:p>
    <w:p>
      <w:pPr>
        <w:pStyle w:val="ListBullet"/>
        <w:spacing w:after="80"/>
      </w:pPr>
      <w:r>
        <w:rPr>
          <w:b/>
        </w:rPr>
        <w:t xml:space="preserve">Financial Rejection Profiles: </w:t>
      </w:r>
      <w:r>
        <w:t>Insurance claims filed with MediCareX and SecureLife display the highest rejection rates (exceeding 28%), indicating a clear need for stricter pre-submission verification for these specific providers.</w:t>
      </w:r>
    </w:p>
    <w:p>
      <w:pPr>
        <w:pStyle w:val="ListBullet"/>
        <w:spacing w:after="80"/>
      </w:pPr>
      <w:r>
        <w:rPr>
          <w:b/>
        </w:rPr>
        <w:t xml:space="preserve">Revenue Realization Rates: </w:t>
      </w:r>
      <w:r>
        <w:t>The revenue realization ratio (approved amount vs. billed amount) varies by clinical department. The ER department exhibits the lowest realization ratio (~49%), showing substantial revenue leakage.</w:t>
      </w:r>
    </w:p>
    <w:p>
      <w:pPr>
        <w:spacing w:after="120"/>
      </w:pPr>
    </w:p>
    <w:p>
      <w:pPr>
        <w:keepNext/>
        <w:spacing w:before="360" w:after="120"/>
      </w:pPr>
      <w:r>
        <w:rPr>
          <w:rFonts w:ascii="Calibri" w:hAnsi="Calibri"/>
          <w:b/>
          <w:color w:val="1B365D"/>
          <w:sz w:val="28"/>
        </w:rPr>
        <w:t>3. Platform Architecture &amp; Predictive Models</w:t>
      </w:r>
    </w:p>
    <w:p>
      <w:pPr>
        <w:spacing w:after="120"/>
      </w:pPr>
      <w:r>
        <w:t>The core value of the platform is driven by two independent, leakage-controlled classification pipelines: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50" w:type="dxa"/>
              <w:right w:w="150" w:type="dxa"/>
            </w:tcMar>
          </w:tcPr>
          <w:p>
            <w:r>
              <w:rPr>
                <w:b/>
                <w:color w:val="FFFFFF"/>
              </w:rPr>
              <w:t>Model</w:t>
            </w:r>
          </w:p>
        </w:tc>
        <w:tc>
          <w:tcPr>
            <w:tcW w:type="dxa" w:w="2340"/>
            <w:shd w:fill="1B365D"/>
            <w:tcMar>
              <w:top w:w="100" w:type="dxa"/>
              <w:bottom w:w="100" w:type="dxa"/>
              <w:left w:w="150" w:type="dxa"/>
              <w:right w:w="150" w:type="dxa"/>
            </w:tcMar>
          </w:tcPr>
          <w:p>
            <w:r>
              <w:rPr>
                <w:b/>
                <w:color w:val="FFFFFF"/>
              </w:rPr>
              <w:t>Target Variable</w:t>
            </w:r>
          </w:p>
        </w:tc>
        <w:tc>
          <w:tcPr>
            <w:tcW w:type="dxa" w:w="2340"/>
            <w:shd w:fill="1B365D"/>
            <w:tcMar>
              <w:top w:w="100" w:type="dxa"/>
              <w:bottom w:w="100" w:type="dxa"/>
              <w:left w:w="150" w:type="dxa"/>
              <w:right w:w="150" w:type="dxa"/>
            </w:tcMar>
          </w:tcPr>
          <w:p>
            <w:r>
              <w:rPr>
                <w:b/>
                <w:color w:val="FFFFFF"/>
              </w:rPr>
              <w:t>Algorithm</w:t>
            </w:r>
          </w:p>
        </w:tc>
        <w:tc>
          <w:tcPr>
            <w:tcW w:type="dxa" w:w="2340"/>
            <w:shd w:fill="1B365D"/>
            <w:tcMar>
              <w:top w:w="100" w:type="dxa"/>
              <w:bottom w:w="100" w:type="dxa"/>
              <w:left w:w="150" w:type="dxa"/>
              <w:right w:w="150" w:type="dxa"/>
            </w:tcMar>
          </w:tcPr>
          <w:p>
            <w:r>
              <w:rPr>
                <w:b/>
                <w:color w:val="FFFFFF"/>
              </w:rPr>
              <w:t>Business Objective</w:t>
            </w:r>
          </w:p>
        </w:tc>
      </w:tr>
      <w:tr>
        <w:tc>
          <w:tcPr>
            <w:tcW w:type="dxa" w:w="2340"/>
            <w:tcMar>
              <w:top w:w="100" w:type="dxa"/>
              <w:bottom w:w="100" w:type="dxa"/>
              <w:left w:w="150" w:type="dxa"/>
              <w:right w:w="150" w:type="dxa"/>
            </w:tcMar>
          </w:tcPr>
          <w:p>
            <w:r>
              <w:t>Model A (Clinical Risk)</w:t>
            </w:r>
          </w:p>
        </w:tc>
        <w:tc>
          <w:tcPr>
            <w:tcW w:type="dxa" w:w="2340"/>
            <w:tcMar>
              <w:top w:w="100" w:type="dxa"/>
              <w:bottom w:w="100" w:type="dxa"/>
              <w:left w:w="150" w:type="dxa"/>
              <w:right w:w="150" w:type="dxa"/>
            </w:tcMar>
          </w:tcPr>
          <w:p>
            <w:r>
              <w:t>risk_score (Low, Medium, High)</w:t>
            </w:r>
          </w:p>
        </w:tc>
        <w:tc>
          <w:tcPr>
            <w:tcW w:type="dxa" w:w="2340"/>
            <w:tcMar>
              <w:top w:w="100" w:type="dxa"/>
              <w:bottom w:w="100" w:type="dxa"/>
              <w:left w:w="150" w:type="dxa"/>
              <w:right w:w="150" w:type="dxa"/>
            </w:tcMar>
          </w:tcPr>
          <w:p>
            <w:r>
              <w:t>Random Forest Classifier</w:t>
            </w:r>
          </w:p>
        </w:tc>
        <w:tc>
          <w:tcPr>
            <w:tcW w:type="dxa" w:w="2340"/>
            <w:tcMar>
              <w:top w:w="100" w:type="dxa"/>
              <w:bottom w:w="100" w:type="dxa"/>
              <w:left w:w="150" w:type="dxa"/>
              <w:right w:w="150" w:type="dxa"/>
            </w:tcMar>
          </w:tcPr>
          <w:p>
            <w:r>
              <w:t>Predict visit acuity at admission for bed planning.</w:t>
            </w:r>
          </w:p>
        </w:tc>
      </w:tr>
      <w:tr>
        <w:tc>
          <w:tcPr>
            <w:tcW w:type="dxa" w:w="2340"/>
            <w:tcMar>
              <w:top w:w="100" w:type="dxa"/>
              <w:bottom w:w="100" w:type="dxa"/>
              <w:left w:w="150" w:type="dxa"/>
              <w:right w:w="150" w:type="dxa"/>
            </w:tcMar>
          </w:tcPr>
          <w:p>
            <w:r>
              <w:t>Model B (Revenue Risk)</w:t>
            </w:r>
          </w:p>
        </w:tc>
        <w:tc>
          <w:tcPr>
            <w:tcW w:type="dxa" w:w="2340"/>
            <w:tcMar>
              <w:top w:w="100" w:type="dxa"/>
              <w:bottom w:w="100" w:type="dxa"/>
              <w:left w:w="150" w:type="dxa"/>
              <w:right w:w="150" w:type="dxa"/>
            </w:tcMar>
          </w:tcPr>
          <w:p>
            <w:r>
              <w:t>claim_status (Paid, Pending, Rejected)</w:t>
            </w:r>
          </w:p>
        </w:tc>
        <w:tc>
          <w:tcPr>
            <w:tcW w:type="dxa" w:w="2340"/>
            <w:tcMar>
              <w:top w:w="100" w:type="dxa"/>
              <w:bottom w:w="100" w:type="dxa"/>
              <w:left w:w="150" w:type="dxa"/>
              <w:right w:w="150" w:type="dxa"/>
            </w:tcMar>
          </w:tcPr>
          <w:p>
            <w:r>
              <w:t>LightGBM Classifier</w:t>
            </w:r>
          </w:p>
        </w:tc>
        <w:tc>
          <w:tcPr>
            <w:tcW w:type="dxa" w:w="2340"/>
            <w:tcMar>
              <w:top w:w="100" w:type="dxa"/>
              <w:bottom w:w="100" w:type="dxa"/>
              <w:left w:w="150" w:type="dxa"/>
              <w:right w:w="150" w:type="dxa"/>
            </w:tcMar>
          </w:tcPr>
          <w:p>
            <w:r>
              <w:t>Flag potential claim rejections prior to submission.</w:t>
            </w:r>
          </w:p>
        </w:tc>
      </w:tr>
    </w:tbl>
    <w:p>
      <w:pPr>
        <w:spacing w:after="240"/>
      </w:pPr>
    </w:p>
    <w:p>
      <w:pPr>
        <w:keepNext/>
        <w:spacing w:before="360" w:after="120"/>
      </w:pPr>
      <w:r>
        <w:rPr>
          <w:rFonts w:ascii="Calibri" w:hAnsi="Calibri"/>
          <w:b/>
          <w:color w:val="1B365D"/>
          <w:sz w:val="28"/>
        </w:rPr>
        <w:t>4. Technical Performance &amp; Business ROI</w:t>
      </w:r>
    </w:p>
    <w:p>
      <w:pPr>
        <w:keepNext/>
        <w:spacing w:before="240" w:after="80"/>
      </w:pPr>
      <w:r>
        <w:rPr>
          <w:rFonts w:ascii="Calibri" w:hAnsi="Calibri"/>
          <w:b/>
          <w:color w:val="5C768D"/>
          <w:sz w:val="24"/>
        </w:rPr>
        <w:t>Model Evaluation Summary</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shd w:fill="5C768D"/>
            <w:tcMar>
              <w:top w:w="100" w:type="dxa"/>
              <w:bottom w:w="100" w:type="dxa"/>
              <w:left w:w="150" w:type="dxa"/>
              <w:right w:w="150" w:type="dxa"/>
            </w:tcMar>
          </w:tcPr>
          <w:p>
            <w:r>
              <w:rPr>
                <w:b/>
                <w:color w:val="FFFFFF"/>
              </w:rPr>
              <w:t>Metric / Model</w:t>
            </w:r>
          </w:p>
        </w:tc>
        <w:tc>
          <w:tcPr>
            <w:tcW w:type="dxa" w:w="1872"/>
            <w:shd w:fill="5C768D"/>
            <w:tcMar>
              <w:top w:w="100" w:type="dxa"/>
              <w:bottom w:w="100" w:type="dxa"/>
              <w:left w:w="150" w:type="dxa"/>
              <w:right w:w="150" w:type="dxa"/>
            </w:tcMar>
          </w:tcPr>
          <w:p>
            <w:r>
              <w:rPr>
                <w:b/>
                <w:color w:val="FFFFFF"/>
              </w:rPr>
              <w:t>Accuracy</w:t>
            </w:r>
          </w:p>
        </w:tc>
        <w:tc>
          <w:tcPr>
            <w:tcW w:type="dxa" w:w="1872"/>
            <w:shd w:fill="5C768D"/>
            <w:tcMar>
              <w:top w:w="100" w:type="dxa"/>
              <w:bottom w:w="100" w:type="dxa"/>
              <w:left w:w="150" w:type="dxa"/>
              <w:right w:w="150" w:type="dxa"/>
            </w:tcMar>
          </w:tcPr>
          <w:p>
            <w:r>
              <w:rPr>
                <w:b/>
                <w:color w:val="FFFFFF"/>
              </w:rPr>
              <w:t>Precision (Weighted)</w:t>
            </w:r>
          </w:p>
        </w:tc>
        <w:tc>
          <w:tcPr>
            <w:tcW w:type="dxa" w:w="1872"/>
            <w:shd w:fill="5C768D"/>
            <w:tcMar>
              <w:top w:w="100" w:type="dxa"/>
              <w:bottom w:w="100" w:type="dxa"/>
              <w:left w:w="150" w:type="dxa"/>
              <w:right w:w="150" w:type="dxa"/>
            </w:tcMar>
          </w:tcPr>
          <w:p>
            <w:r>
              <w:rPr>
                <w:b/>
                <w:color w:val="FFFFFF"/>
              </w:rPr>
              <w:t>Recall (Weighted)</w:t>
            </w:r>
          </w:p>
        </w:tc>
        <w:tc>
          <w:tcPr>
            <w:tcW w:type="dxa" w:w="1872"/>
            <w:shd w:fill="5C768D"/>
            <w:tcMar>
              <w:top w:w="100" w:type="dxa"/>
              <w:bottom w:w="100" w:type="dxa"/>
              <w:left w:w="150" w:type="dxa"/>
              <w:right w:w="150" w:type="dxa"/>
            </w:tcMar>
          </w:tcPr>
          <w:p>
            <w:r>
              <w:rPr>
                <w:b/>
                <w:color w:val="FFFFFF"/>
              </w:rPr>
              <w:t>Recall (Target Class)</w:t>
            </w:r>
          </w:p>
        </w:tc>
      </w:tr>
      <w:tr>
        <w:tc>
          <w:tcPr>
            <w:tcW w:type="dxa" w:w="1872"/>
            <w:tcMar>
              <w:top w:w="100" w:type="dxa"/>
              <w:bottom w:w="100" w:type="dxa"/>
              <w:left w:w="150" w:type="dxa"/>
              <w:right w:w="150" w:type="dxa"/>
            </w:tcMar>
          </w:tcPr>
          <w:p>
            <w:r>
              <w:t>Model A: Visit Risk</w:t>
            </w:r>
          </w:p>
        </w:tc>
        <w:tc>
          <w:tcPr>
            <w:tcW w:type="dxa" w:w="1872"/>
            <w:tcMar>
              <w:top w:w="100" w:type="dxa"/>
              <w:bottom w:w="100" w:type="dxa"/>
              <w:left w:w="150" w:type="dxa"/>
              <w:right w:w="150" w:type="dxa"/>
            </w:tcMar>
          </w:tcPr>
          <w:p>
            <w:r>
              <w:t>99.9%</w:t>
            </w:r>
          </w:p>
        </w:tc>
        <w:tc>
          <w:tcPr>
            <w:tcW w:type="dxa" w:w="1872"/>
            <w:tcMar>
              <w:top w:w="100" w:type="dxa"/>
              <w:bottom w:w="100" w:type="dxa"/>
              <w:left w:w="150" w:type="dxa"/>
              <w:right w:w="150" w:type="dxa"/>
            </w:tcMar>
          </w:tcPr>
          <w:p>
            <w:r>
              <w:t>99.9%</w:t>
            </w:r>
          </w:p>
        </w:tc>
        <w:tc>
          <w:tcPr>
            <w:tcW w:type="dxa" w:w="1872"/>
            <w:tcMar>
              <w:top w:w="100" w:type="dxa"/>
              <w:bottom w:w="100" w:type="dxa"/>
              <w:left w:w="150" w:type="dxa"/>
              <w:right w:w="150" w:type="dxa"/>
            </w:tcMar>
          </w:tcPr>
          <w:p>
            <w:r>
              <w:t>99.9%</w:t>
            </w:r>
          </w:p>
        </w:tc>
        <w:tc>
          <w:tcPr>
            <w:tcW w:type="dxa" w:w="1872"/>
            <w:tcMar>
              <w:top w:w="100" w:type="dxa"/>
              <w:bottom w:w="100" w:type="dxa"/>
              <w:left w:w="150" w:type="dxa"/>
              <w:right w:w="150" w:type="dxa"/>
            </w:tcMar>
          </w:tcPr>
          <w:p>
            <w:r>
              <w:t>100.0% (High-Risk Recall)</w:t>
            </w:r>
          </w:p>
        </w:tc>
      </w:tr>
      <w:tr>
        <w:tc>
          <w:tcPr>
            <w:tcW w:type="dxa" w:w="1872"/>
            <w:tcMar>
              <w:top w:w="100" w:type="dxa"/>
              <w:bottom w:w="100" w:type="dxa"/>
              <w:left w:w="150" w:type="dxa"/>
              <w:right w:w="150" w:type="dxa"/>
            </w:tcMar>
          </w:tcPr>
          <w:p>
            <w:r>
              <w:t>Model B: Claim Status</w:t>
            </w:r>
          </w:p>
        </w:tc>
        <w:tc>
          <w:tcPr>
            <w:tcW w:type="dxa" w:w="1872"/>
            <w:tcMar>
              <w:top w:w="100" w:type="dxa"/>
              <w:bottom w:w="100" w:type="dxa"/>
              <w:left w:w="150" w:type="dxa"/>
              <w:right w:w="150" w:type="dxa"/>
            </w:tcMar>
          </w:tcPr>
          <w:p>
            <w:r>
              <w:t>76.2%</w:t>
            </w:r>
          </w:p>
        </w:tc>
        <w:tc>
          <w:tcPr>
            <w:tcW w:type="dxa" w:w="1872"/>
            <w:tcMar>
              <w:top w:w="100" w:type="dxa"/>
              <w:bottom w:w="100" w:type="dxa"/>
              <w:left w:w="150" w:type="dxa"/>
              <w:right w:w="150" w:type="dxa"/>
            </w:tcMar>
          </w:tcPr>
          <w:p>
            <w:r>
              <w:t>75.8%</w:t>
            </w:r>
          </w:p>
        </w:tc>
        <w:tc>
          <w:tcPr>
            <w:tcW w:type="dxa" w:w="1872"/>
            <w:tcMar>
              <w:top w:w="100" w:type="dxa"/>
              <w:bottom w:w="100" w:type="dxa"/>
              <w:left w:w="150" w:type="dxa"/>
              <w:right w:w="150" w:type="dxa"/>
            </w:tcMar>
          </w:tcPr>
          <w:p>
            <w:r>
              <w:t>76.2%</w:t>
            </w:r>
          </w:p>
        </w:tc>
        <w:tc>
          <w:tcPr>
            <w:tcW w:type="dxa" w:w="1872"/>
            <w:tcMar>
              <w:top w:w="100" w:type="dxa"/>
              <w:bottom w:w="100" w:type="dxa"/>
              <w:left w:w="150" w:type="dxa"/>
              <w:right w:w="150" w:type="dxa"/>
            </w:tcMar>
          </w:tcPr>
          <w:p>
            <w:r>
              <w:t>78.0% (Rejection Recall)</w:t>
            </w:r>
          </w:p>
        </w:tc>
      </w:tr>
    </w:tbl>
    <w:p>
      <w:pPr>
        <w:spacing w:after="200"/>
      </w:pPr>
    </w:p>
    <w:p>
      <w:pPr>
        <w:keepNext/>
        <w:spacing w:before="240" w:after="80"/>
      </w:pPr>
      <w:r>
        <w:rPr>
          <w:rFonts w:ascii="Calibri" w:hAnsi="Calibri"/>
          <w:b/>
          <w:color w:val="5C768D"/>
          <w:sz w:val="24"/>
        </w:rPr>
        <w:t>Financial ROI &amp; Revenue Protection</w:t>
      </w:r>
    </w:p>
    <w:p>
      <w:pPr>
        <w:spacing w:after="240"/>
      </w:pPr>
      <w:r>
        <w:t>By intercepting billing claims predicted as 'Rejected' before submission, the finance team can audit and correct errors (such as incorrect patient demographics or missing insurance details). In our test partition (representing 20% of the dataset), the model correctly flagged 78% of the actual rejections. This equates to over INR 2.18 Crore of protected billing revenue, ensuring cash flow consistency and protecting hospital revenue realization.</w:t>
      </w:r>
    </w:p>
    <w:p>
      <w:pPr>
        <w:keepNext/>
        <w:spacing w:before="360" w:after="120"/>
      </w:pPr>
      <w:r>
        <w:rPr>
          <w:rFonts w:ascii="Calibri" w:hAnsi="Calibri"/>
          <w:b/>
          <w:color w:val="1B365D"/>
          <w:sz w:val="28"/>
        </w:rPr>
        <w:t>5. Strategic Recommendations for Leadership</w:t>
      </w:r>
    </w:p>
    <w:p>
      <w:pPr>
        <w:pStyle w:val="ListBullet"/>
        <w:spacing w:after="80"/>
      </w:pPr>
      <w:r>
        <w:rPr>
          <w:b/>
        </w:rPr>
        <w:t xml:space="preserve">Deploy API Integration: </w:t>
      </w:r>
      <w:r>
        <w:t>Launch the FastAPI service to integrate the predictive models directly into the hospital's EHR (Electronic Health Record) and Billing dashboards, enabling real-time clinical and financial scoring.</w:t>
      </w:r>
    </w:p>
    <w:p>
      <w:pPr>
        <w:pStyle w:val="ListBullet"/>
        <w:spacing w:after="80"/>
      </w:pPr>
      <w:r>
        <w:rPr>
          <w:b/>
        </w:rPr>
        <w:t xml:space="preserve">Audit Pre-Submission Rejections: </w:t>
      </w:r>
      <w:r>
        <w:t>Establish a workflow where billing claims flagged as 'Rejected' by Model B are routed to a dedicated QA queue for detail correction prior to submission, prioritizing MediCareX and SecureLife claims.</w:t>
      </w:r>
    </w:p>
    <w:p>
      <w:pPr>
        <w:pStyle w:val="ListBullet"/>
        <w:spacing w:after="80"/>
      </w:pPr>
      <w:r>
        <w:rPr>
          <w:b/>
        </w:rPr>
        <w:t xml:space="preserve">ICU &amp; Bed Scheduling: </w:t>
      </w:r>
      <w:r>
        <w:t>Leverage Model A's 100% recall on high-risk admissions to trigger automated alerts in the bed-management dashboard. This permits administrators to proactively buffer ICU bed capacity based on admissions.</w:t>
      </w:r>
    </w:p>
    <w:p>
      <w:pPr>
        <w:pStyle w:val="ListBullet"/>
        <w:spacing w:after="80"/>
      </w:pPr>
      <w:r>
        <w:rPr>
          <w:b/>
        </w:rPr>
        <w:t xml:space="preserve">Establish Governance Triggers: </w:t>
      </w:r>
      <w:r>
        <w:t>Implement the weekly monitoring script to track feature and prediction drift (using PSI and KS-tests). Retrain the models if accuracy falls below 70% or PSI exceeds 0.25, ensuring predictions remain reliable over time.</w:t>
      </w:r>
    </w:p>
    <w:p>
      <w:pPr>
        <w:spacing w:after="400"/>
      </w:pPr>
    </w:p>
    <w:p>
      <w:pPr>
        <w:spacing w:before="480"/>
      </w:pPr>
      <w:r>
        <w:rPr>
          <w:b/>
          <w:color w:val="777777"/>
          <w:sz w:val="19"/>
        </w:rPr>
        <w:t>Document Approved by Capstone Advisory Board</w:t>
        <w:br/>
        <w:t>Advanced Certificate Programme in Applied AI &amp; ML, IIT Madras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