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40"/>
          <w:szCs w:val="40"/>
        </w:rPr>
        <w:t xml:space="preserve">ConsumerFirst Retail</w:t>
      </w:r>
    </w:p>
    <w:p>
      <w:pPr>
        <w:spacing w:after="720"/>
        <w:jc w:val="center"/>
      </w:pPr>
      <w:r>
        <w:rPr>
          <w:rFonts w:ascii="Calibri" w:cs="Calibri" w:eastAsia="Calibri" w:hAnsi="Calibri"/>
          <w:b/>
          <w:bCs/>
          <w:color w:val="2E75B6"/>
          <w:sz w:val="32"/>
          <w:szCs w:val="32"/>
        </w:rPr>
        <w:t xml:space="preserve">Global Privacy Policy Suite</w:t>
      </w:r>
    </w:p>
    <w:p>
      <w:pPr>
        <w:spacing w:after="120"/>
        <w:jc w:val="center"/>
      </w:pPr>
      <w:r>
        <w:rPr>
          <w:rFonts w:ascii="Calibri" w:cs="Calibri" w:eastAsia="Calibri" w:hAnsi="Calibri"/>
          <w:color w:val="666666"/>
          <w:sz w:val="22"/>
          <w:szCs w:val="22"/>
        </w:rPr>
        <w:t xml:space="preserve">Unified privacy program covering GDPR, CCPA/CPRA,</w:t>
      </w:r>
    </w:p>
    <w:p>
      <w:pPr>
        <w:spacing w:after="600"/>
        <w:jc w:val="center"/>
      </w:pPr>
      <w:r>
        <w:rPr>
          <w:rFonts w:ascii="Calibri" w:cs="Calibri" w:eastAsia="Calibri" w:hAnsi="Calibri"/>
          <w:color w:val="666666"/>
          <w:sz w:val="22"/>
          <w:szCs w:val="22"/>
        </w:rPr>
        <w:t xml:space="preserve">and US state privacy laws across 40 countries</w:t>
      </w:r>
    </w:p>
    <w:p>
      <w:pPr>
        <w:spacing w:after="240" w:before="1200"/>
        <w:jc w:val="center"/>
      </w:pPr>
      <w:r>
        <w:rPr>
          <w:rFonts w:ascii="Calibri" w:cs="Calibri" w:eastAsia="Calibri" w:hAnsi="Calibri"/>
          <w:b/>
          <w:bCs/>
          <w:sz w:val="22"/>
          <w:szCs w:val="22"/>
        </w:rPr>
        <w:t xml:space="preserve">Document Status: Approved</w:t>
      </w:r>
    </w:p>
    <w:p>
      <w:pPr>
        <w:spacing w:after="120"/>
        <w:jc w:val="center"/>
      </w:pPr>
      <w:r>
        <w:rPr>
          <w:rFonts w:ascii="Calibri" w:cs="Calibri" w:eastAsia="Calibri" w:hAnsi="Calibri"/>
          <w:sz w:val="22"/>
          <w:szCs w:val="22"/>
        </w:rPr>
        <w:t xml:space="preserve">Last Review: 14 March 2026</w:t>
      </w:r>
    </w:p>
    <w:p>
      <w:pPr>
        <w:spacing w:after="120"/>
        <w:jc w:val="center"/>
      </w:pPr>
      <w:r>
        <w:rPr>
          <w:rFonts w:ascii="Calibri" w:cs="Calibri" w:eastAsia="Calibri" w:hAnsi="Calibri"/>
          <w:sz w:val="22"/>
          <w:szCs w:val="22"/>
        </w:rPr>
        <w:t xml:space="preserve">Next Review: March 2027</w:t>
      </w:r>
    </w:p>
    <w:p>
      <w:pPr>
        <w:spacing w:after="120"/>
        <w:jc w:val="center"/>
      </w:pPr>
      <w:r>
        <w:rPr>
          <w:rFonts w:ascii="Calibri" w:cs="Calibri" w:eastAsia="Calibri" w:hAnsi="Calibri"/>
          <w:sz w:val="22"/>
          <w:szCs w:val="22"/>
        </w:rPr>
        <w:t xml:space="preserve">Policy Owner: Privacy Program Manager</w:t>
      </w:r>
    </w:p>
    <w:p>
      <w:r>
        <w:br w:type="page"/>
      </w:r>
    </w:p>
    <w:p>
      <w:pPr>
        <w:pStyle w:val="Heading1"/>
        <w:spacing w:after="120" w:before="360"/>
      </w:pPr>
      <w:r>
        <w:rPr>
          <w:rFonts w:ascii="Calibri" w:cs="Calibri" w:eastAsia="Calibri" w:hAnsi="Calibri"/>
          <w:b/>
          <w:bCs/>
          <w:sz w:val="36"/>
          <w:szCs w:val="36"/>
        </w:rPr>
        <w:t xml:space="preserve">Contents</w:t>
      </w:r>
    </w:p>
    <w:p>
      <w:pPr>
        <w:pBdr>
          <w:bottom w:val="single" w:color="2E75B6" w:sz="6" w:space="1"/>
        </w:pBdr>
        <w:spacing w:after="240" w:before="120"/>
      </w:pPr>
    </w:p>
    <w:p>
      <w:pPr>
        <w:spacing w:after="120"/>
      </w:pPr>
      <w:r>
        <w:rPr>
          <w:rFonts w:ascii="Calibri" w:cs="Calibri" w:eastAsia="Calibri" w:hAnsi="Calibri"/>
          <w:sz w:val="24"/>
          <w:szCs w:val="24"/>
        </w:rPr>
        <w:t xml:space="preserve">1. Global Privacy and Data Protection Policy</w:t>
      </w:r>
    </w:p>
    <w:p>
      <w:pPr>
        <w:spacing w:after="120"/>
      </w:pPr>
      <w:r>
        <w:rPr>
          <w:rFonts w:ascii="Calibri" w:cs="Calibri" w:eastAsia="Calibri" w:hAnsi="Calibri"/>
          <w:sz w:val="24"/>
          <w:szCs w:val="24"/>
        </w:rPr>
        <w:t xml:space="preserve">2. Consumer Rights and Data Subject Request Policy</w:t>
      </w:r>
    </w:p>
    <w:p>
      <w:pPr>
        <w:spacing w:after="120"/>
      </w:pPr>
      <w:r>
        <w:rPr>
          <w:rFonts w:ascii="Calibri" w:cs="Calibri" w:eastAsia="Calibri" w:hAnsi="Calibri"/>
          <w:sz w:val="24"/>
          <w:szCs w:val="24"/>
        </w:rPr>
        <w:t xml:space="preserve">3. Consent Management and Marketing Data Processing Policy</w:t>
      </w:r>
    </w:p>
    <w:p>
      <w:pPr>
        <w:spacing w:after="120"/>
      </w:pPr>
      <w:r>
        <w:rPr>
          <w:rFonts w:ascii="Calibri" w:cs="Calibri" w:eastAsia="Calibri" w:hAnsi="Calibri"/>
          <w:sz w:val="24"/>
          <w:szCs w:val="24"/>
        </w:rPr>
        <w:t xml:space="preserve">4. Cross-Border Data Transfer and Third-Party Sharing Policy</w:t>
      </w:r>
    </w:p>
    <w:p>
      <w:pPr>
        <w:spacing w:after="120"/>
      </w:pPr>
      <w:r>
        <w:rPr>
          <w:rFonts w:ascii="Calibri" w:cs="Calibri" w:eastAsia="Calibri" w:hAnsi="Calibri"/>
          <w:sz w:val="24"/>
          <w:szCs w:val="24"/>
        </w:rPr>
        <w:t xml:space="preserve">5. Data Retention and Deletion Policy</w:t>
      </w:r>
    </w:p>
    <w:p>
      <w:r>
        <w:br w:type="page"/>
      </w:r>
    </w:p>
    <w:p>
      <w:pPr>
        <w:pStyle w:val="Heading1"/>
        <w:spacing w:after="120" w:before="360"/>
      </w:pPr>
      <w:r>
        <w:rPr>
          <w:rFonts w:ascii="Calibri" w:cs="Calibri" w:eastAsia="Calibri" w:hAnsi="Calibri"/>
          <w:b/>
          <w:bCs/>
          <w:sz w:val="36"/>
          <w:szCs w:val="36"/>
        </w:rPr>
        <w:t xml:space="preserve">1. Global Privacy and Data Protection Policy</w:t>
      </w:r>
    </w:p>
    <w:p>
      <w:pPr>
        <w:pBdr>
          <w:bottom w:val="single" w:color="2E75B6" w:sz="6" w:space="1"/>
        </w:pBdr>
        <w:spacing w:after="2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Policy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POL-mna899vc</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Approved</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Privacy Program Manager</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Last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2026</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Next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2027</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Applies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 ConsumerFirst Retail employees, contractors, and third parties processing personal data of customers across all 40 countries served</w:t>
            </w:r>
          </w:p>
        </w:tc>
      </w:tr>
    </w:tbl>
    <w:p>
      <w:pPr>
        <w:pStyle w:val="Heading2"/>
        <w:spacing w:after="120" w:before="240"/>
      </w:pPr>
      <w:r>
        <w:rPr>
          <w:rFonts w:ascii="Calibri" w:cs="Calibri" w:eastAsia="Calibri" w:hAnsi="Calibri"/>
          <w:b/>
          <w:bCs/>
          <w:sz w:val="30"/>
          <w:szCs w:val="30"/>
        </w:rPr>
        <w:t xml:space="preserve">1.1 Purpose</w:t>
      </w:r>
    </w:p>
    <w:p>
      <w:pPr>
        <w:spacing w:after="120" w:line="300"/>
      </w:pPr>
      <w:r>
        <w:rPr>
          <w:rFonts w:ascii="Calibri" w:cs="Calibri" w:eastAsia="Calibri" w:hAnsi="Calibri"/>
          <w:sz w:val="22"/>
          <w:szCs w:val="22"/>
        </w:rPr>
        <w:t xml:space="preserve">This policy establishes the global privacy framework for ConsumerFirst Retail, providing a unified approach to data protection across the European Union, California, Virginia, Colorado, Connecticut, and all other jurisdictions where customers reside. It operationalises the requirements of GDPR (EU) 2016/679, the California Consumer Privacy Act as amended by the California Privacy Rights Act (CCPA/CPRA), and equivalent state privacy laws.</w:t>
      </w:r>
    </w:p>
    <w:p>
      <w:pPr>
        <w:pStyle w:val="Heading2"/>
        <w:spacing w:after="120" w:before="240"/>
      </w:pPr>
      <w:r>
        <w:rPr>
          <w:rFonts w:ascii="Calibri" w:cs="Calibri" w:eastAsia="Calibri" w:hAnsi="Calibri"/>
          <w:b/>
          <w:bCs/>
          <w:sz w:val="30"/>
          <w:szCs w:val="30"/>
        </w:rPr>
        <w:t xml:space="preserve">1.2 Scope</w:t>
      </w:r>
    </w:p>
    <w:p>
      <w:pPr>
        <w:spacing w:after="120" w:line="300"/>
      </w:pPr>
      <w:r>
        <w:rPr>
          <w:rFonts w:ascii="Calibri" w:cs="Calibri" w:eastAsia="Calibri" w:hAnsi="Calibri"/>
          <w:sz w:val="22"/>
          <w:szCs w:val="22"/>
        </w:rPr>
        <w:t xml:space="preserve">This policy applies to the processing of personal data of 8 million customers across the e-commerce platform, customer data platform, behavioural analytics system, loyalty program database, consent management platform, third-party marketing partners, cross-border data transfer infrastructure, and employee endpoints. It covers the full data lifecycle from collection through deletion.</w:t>
      </w:r>
    </w:p>
    <w:p>
      <w:pPr>
        <w:pStyle w:val="Heading2"/>
        <w:spacing w:after="120" w:before="240"/>
      </w:pPr>
      <w:r>
        <w:rPr>
          <w:rFonts w:ascii="Calibri" w:cs="Calibri" w:eastAsia="Calibri" w:hAnsi="Calibri"/>
          <w:b/>
          <w:bCs/>
          <w:sz w:val="30"/>
          <w:szCs w:val="30"/>
        </w:rPr>
        <w:t xml:space="preserve">1.3 Privacy Principles</w:t>
      </w:r>
    </w:p>
    <w:p>
      <w:pPr>
        <w:spacing w:after="120" w:line="300"/>
      </w:pPr>
      <w:r>
        <w:rPr>
          <w:rFonts w:ascii="Calibri" w:cs="Calibri" w:eastAsia="Calibri" w:hAnsi="Calibri"/>
          <w:sz w:val="22"/>
          <w:szCs w:val="22"/>
        </w:rPr>
        <w:t xml:space="preserve">ConsumerFirst processes personal data in accordance with the following principles, which apply globally regardless of jurisdiction:</w:t>
      </w:r>
    </w:p>
    <w:p>
      <w:pPr>
        <w:pStyle w:val="ListParagraph"/>
        <w:numPr>
          <w:ilvl w:val="0"/>
          <w:numId w:val="2"/>
        </w:numPr>
        <w:spacing w:after="80"/>
      </w:pPr>
      <w:r>
        <w:rPr>
          <w:rFonts w:ascii="Calibri" w:cs="Calibri" w:eastAsia="Calibri" w:hAnsi="Calibri"/>
          <w:sz w:val="22"/>
          <w:szCs w:val="22"/>
        </w:rPr>
        <w:t xml:space="preserve">Lawfulness, fairness, and transparency — every processing activity has a documented lawful basis under GDPR Article 6 or a CCPA business purpose.</w:t>
      </w:r>
    </w:p>
    <w:p>
      <w:pPr>
        <w:pStyle w:val="ListParagraph"/>
        <w:numPr>
          <w:ilvl w:val="0"/>
          <w:numId w:val="2"/>
        </w:numPr>
        <w:spacing w:after="80"/>
      </w:pPr>
      <w:r>
        <w:rPr>
          <w:rFonts w:ascii="Calibri" w:cs="Calibri" w:eastAsia="Calibri" w:hAnsi="Calibri"/>
          <w:sz w:val="22"/>
          <w:szCs w:val="22"/>
        </w:rPr>
        <w:t xml:space="preserve">Purpose limitation — personal data is collected for specific, explicit purposes communicated to the individual at the point of collection.</w:t>
      </w:r>
    </w:p>
    <w:p>
      <w:pPr>
        <w:pStyle w:val="ListParagraph"/>
        <w:numPr>
          <w:ilvl w:val="0"/>
          <w:numId w:val="2"/>
        </w:numPr>
        <w:spacing w:after="80"/>
      </w:pPr>
      <w:r>
        <w:rPr>
          <w:rFonts w:ascii="Calibri" w:cs="Calibri" w:eastAsia="Calibri" w:hAnsi="Calibri"/>
          <w:sz w:val="22"/>
          <w:szCs w:val="22"/>
        </w:rPr>
        <w:t xml:space="preserve">Data minimisation — only personal data necessary for each stated purpose is collected and retained.</w:t>
      </w:r>
    </w:p>
    <w:p>
      <w:pPr>
        <w:pStyle w:val="ListParagraph"/>
        <w:numPr>
          <w:ilvl w:val="0"/>
          <w:numId w:val="2"/>
        </w:numPr>
        <w:spacing w:after="80"/>
      </w:pPr>
      <w:r>
        <w:rPr>
          <w:rFonts w:ascii="Calibri" w:cs="Calibri" w:eastAsia="Calibri" w:hAnsi="Calibri"/>
          <w:sz w:val="22"/>
          <w:szCs w:val="22"/>
        </w:rPr>
        <w:t xml:space="preserve">Accuracy — reasonable steps are taken to keep personal data accurate and up to date.</w:t>
      </w:r>
    </w:p>
    <w:p>
      <w:pPr>
        <w:pStyle w:val="ListParagraph"/>
        <w:numPr>
          <w:ilvl w:val="0"/>
          <w:numId w:val="2"/>
        </w:numPr>
        <w:spacing w:after="80"/>
      </w:pPr>
      <w:r>
        <w:rPr>
          <w:rFonts w:ascii="Calibri" w:cs="Calibri" w:eastAsia="Calibri" w:hAnsi="Calibri"/>
          <w:sz w:val="22"/>
          <w:szCs w:val="22"/>
        </w:rPr>
        <w:t xml:space="preserve">Storage limitation — personal data is retained only for the period required for the purpose or by law.</w:t>
      </w:r>
    </w:p>
    <w:p>
      <w:pPr>
        <w:pStyle w:val="ListParagraph"/>
        <w:numPr>
          <w:ilvl w:val="0"/>
          <w:numId w:val="2"/>
        </w:numPr>
        <w:spacing w:after="80"/>
      </w:pPr>
      <w:r>
        <w:rPr>
          <w:rFonts w:ascii="Calibri" w:cs="Calibri" w:eastAsia="Calibri" w:hAnsi="Calibri"/>
          <w:sz w:val="22"/>
          <w:szCs w:val="22"/>
        </w:rPr>
        <w:t xml:space="preserve">Integrity and confidentiality — appropriate technical and organisational measures protect personal data from unauthorised access, loss, or destruction.</w:t>
      </w:r>
    </w:p>
    <w:p>
      <w:pPr>
        <w:pStyle w:val="ListParagraph"/>
        <w:numPr>
          <w:ilvl w:val="0"/>
          <w:numId w:val="2"/>
        </w:numPr>
        <w:spacing w:after="80"/>
      </w:pPr>
      <w:r>
        <w:rPr>
          <w:rFonts w:ascii="Calibri" w:cs="Calibri" w:eastAsia="Calibri" w:hAnsi="Calibri"/>
          <w:sz w:val="22"/>
          <w:szCs w:val="22"/>
        </w:rPr>
        <w:t xml:space="preserve">Accountability — ConsumerFirst maintains records and evidence demonstrating compliance with these principles.</w:t>
      </w:r>
    </w:p>
    <w:p>
      <w:pPr>
        <w:pStyle w:val="Heading2"/>
        <w:spacing w:after="120" w:before="240"/>
      </w:pPr>
      <w:r>
        <w:rPr>
          <w:rFonts w:ascii="Calibri" w:cs="Calibri" w:eastAsia="Calibri" w:hAnsi="Calibri"/>
          <w:b/>
          <w:bCs/>
          <w:sz w:val="30"/>
          <w:szCs w:val="30"/>
        </w:rPr>
        <w:t xml:space="preserve">1.4 Roles and Responsibilities</w:t>
      </w:r>
    </w:p>
    <w:p>
      <w:pPr>
        <w:spacing w:after="120" w:line="300"/>
      </w:pPr>
      <w:r>
        <w:rPr>
          <w:rFonts w:ascii="Calibri" w:cs="Calibri" w:eastAsia="Calibri" w:hAnsi="Calibri"/>
          <w:sz w:val="22"/>
          <w:szCs w:val="22"/>
        </w:rPr>
        <w:t xml:space="preserve">The Privacy Program Manager owns the privacy program and reports to the Chief Legal Officer. Regional Privacy Leads in the EU and the United States adapt the global program to local requirements and act as the primary contact for supervisory authorities and the California Privacy Protection Agency. Business unit heads are accountable for compliance within their operations. The Chief Information Security Officer ensures technical safeguards meet the requirements of GDPR Article 32 and CCPA Section 1798.81.5.</w:t>
      </w:r>
    </w:p>
    <w:p>
      <w:pPr>
        <w:pStyle w:val="Heading2"/>
        <w:spacing w:after="120" w:before="240"/>
      </w:pPr>
      <w:r>
        <w:rPr>
          <w:rFonts w:ascii="Calibri" w:cs="Calibri" w:eastAsia="Calibri" w:hAnsi="Calibri"/>
          <w:b/>
          <w:bCs/>
          <w:sz w:val="30"/>
          <w:szCs w:val="30"/>
        </w:rPr>
        <w:t xml:space="preserve">1.5 Privacy by Design</w:t>
      </w:r>
    </w:p>
    <w:p>
      <w:pPr>
        <w:spacing w:after="120" w:line="300"/>
      </w:pPr>
      <w:r>
        <w:rPr>
          <w:rFonts w:ascii="Calibri" w:cs="Calibri" w:eastAsia="Calibri" w:hAnsi="Calibri"/>
          <w:sz w:val="22"/>
          <w:szCs w:val="22"/>
        </w:rPr>
        <w:t xml:space="preserve">Privacy is considered at the design phase of every new system, marketing initiative, product feature, and third-party engagement that processes personal data. Privacy Impact Assessments are conducted before deployment for any high-risk processing under GDPR Article 35 or any new collection or sharing of sensitive personal information under CCPA Section 1798.121. Findings are reviewed by the Privacy Program Manager and tracked to closure before deployment.</w:t>
      </w:r>
    </w:p>
    <w:p>
      <w:pPr>
        <w:pStyle w:val="Heading2"/>
        <w:spacing w:after="120" w:before="240"/>
      </w:pPr>
      <w:r>
        <w:rPr>
          <w:rFonts w:ascii="Calibri" w:cs="Calibri" w:eastAsia="Calibri" w:hAnsi="Calibri"/>
          <w:b/>
          <w:bCs/>
          <w:sz w:val="30"/>
          <w:szCs w:val="30"/>
        </w:rPr>
        <w:t xml:space="preserve">1.6 Training and Awareness</w:t>
      </w:r>
    </w:p>
    <w:p>
      <w:pPr>
        <w:spacing w:after="120" w:line="300"/>
      </w:pPr>
      <w:r>
        <w:rPr>
          <w:rFonts w:ascii="Calibri" w:cs="Calibri" w:eastAsia="Calibri" w:hAnsi="Calibri"/>
          <w:sz w:val="22"/>
          <w:szCs w:val="22"/>
        </w:rPr>
        <w:t xml:space="preserve">All 5,000 ConsumerFirst employees complete privacy awareness training annually under GDPR Article 39. Training is differentiated by role, with deeper modules for marketing teams handling consent, customer service teams handling DSRs, and engineering teams building data-handling systems. Acknowledgements are tracked and reported to the Privacy Program Manager.</w:t>
      </w:r>
    </w:p>
    <w:p>
      <w:pPr>
        <w:pStyle w:val="Heading2"/>
        <w:spacing w:after="120" w:before="240"/>
      </w:pPr>
      <w:r>
        <w:rPr>
          <w:rFonts w:ascii="Calibri" w:cs="Calibri" w:eastAsia="Calibri" w:hAnsi="Calibri"/>
          <w:b/>
          <w:bCs/>
          <w:sz w:val="30"/>
          <w:szCs w:val="30"/>
        </w:rPr>
        <w:t xml:space="preserve">1.7 Breach Notification</w:t>
      </w:r>
    </w:p>
    <w:p>
      <w:pPr>
        <w:spacing w:after="120" w:line="300"/>
      </w:pPr>
      <w:r>
        <w:rPr>
          <w:rFonts w:ascii="Calibri" w:cs="Calibri" w:eastAsia="Calibri" w:hAnsi="Calibri"/>
          <w:sz w:val="22"/>
          <w:szCs w:val="22"/>
        </w:rPr>
        <w:t xml:space="preserve">Personal data breaches are reported to the Privacy Program Manager within four hours of discovery. The Privacy Program Manager assesses severity and reports qualifying breaches to the lead supervisory authority (typically the Irish Data Protection Commission for EU customers) within 72 hours under GDPR Article 33. Breaches affecting California residents are notified to the California Attorney General as required by California Civil Code Section 1798.82. High-risk breaches trigger individual notification under GDPR Article 34 and applicable state breach notification laws.</w:t>
      </w:r>
    </w:p>
    <w:p>
      <w:pPr>
        <w:pStyle w:val="Heading2"/>
        <w:spacing w:after="120" w:before="240"/>
      </w:pPr>
      <w:r>
        <w:rPr>
          <w:rFonts w:ascii="Calibri" w:cs="Calibri" w:eastAsia="Calibri" w:hAnsi="Calibri"/>
          <w:b/>
          <w:bCs/>
          <w:sz w:val="30"/>
          <w:szCs w:val="30"/>
        </w:rPr>
        <w:t xml:space="preserve">1.8 Enforcement</w:t>
      </w:r>
    </w:p>
    <w:p>
      <w:pPr>
        <w:spacing w:after="120" w:line="300"/>
      </w:pPr>
      <w:r>
        <w:rPr>
          <w:rFonts w:ascii="Calibri" w:cs="Calibri" w:eastAsia="Calibri" w:hAnsi="Calibri"/>
          <w:sz w:val="22"/>
          <w:szCs w:val="22"/>
        </w:rPr>
        <w:t xml:space="preserve">Violations of this policy are handled under the ConsumerFirst disciplinary framework and may result in termination of employment or contract. Wilful or negligent breaches by any employee may result in referral to the supervisory authority or regulator and civil or criminal proceedings under applicable jurisdiction law.</w:t>
      </w:r>
    </w:p>
    <w:p>
      <w:r>
        <w:br w:type="page"/>
      </w:r>
    </w:p>
    <w:p>
      <w:pPr>
        <w:pStyle w:val="Heading1"/>
        <w:spacing w:after="120" w:before="360"/>
      </w:pPr>
      <w:r>
        <w:rPr>
          <w:rFonts w:ascii="Calibri" w:cs="Calibri" w:eastAsia="Calibri" w:hAnsi="Calibri"/>
          <w:b/>
          <w:bCs/>
          <w:sz w:val="36"/>
          <w:szCs w:val="36"/>
        </w:rPr>
        <w:t xml:space="preserve">2. Consumer Rights and Data Subject Request Policy</w:t>
      </w:r>
    </w:p>
    <w:p>
      <w:pPr>
        <w:pBdr>
          <w:bottom w:val="single" w:color="2E75B6" w:sz="6" w:space="1"/>
        </w:pBdr>
        <w:spacing w:after="2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Policy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POL-mna89r9z</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Approved</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Privacy Program Manager</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Last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2026</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Next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2027</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Applies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 teams handling consumer rights requests including data subject access requests, deletion requests, opt-outs, and related GDPR and CCPA inquiries</w:t>
            </w:r>
          </w:p>
        </w:tc>
      </w:tr>
    </w:tbl>
    <w:p>
      <w:pPr>
        <w:pStyle w:val="Heading2"/>
        <w:spacing w:after="120" w:before="240"/>
      </w:pPr>
      <w:r>
        <w:rPr>
          <w:rFonts w:ascii="Calibri" w:cs="Calibri" w:eastAsia="Calibri" w:hAnsi="Calibri"/>
          <w:b/>
          <w:bCs/>
          <w:sz w:val="30"/>
          <w:szCs w:val="30"/>
        </w:rPr>
        <w:t xml:space="preserve">2.1 Purpose</w:t>
      </w:r>
    </w:p>
    <w:p>
      <w:pPr>
        <w:spacing w:after="120" w:line="300"/>
      </w:pPr>
      <w:r>
        <w:rPr>
          <w:rFonts w:ascii="Calibri" w:cs="Calibri" w:eastAsia="Calibri" w:hAnsi="Calibri"/>
          <w:sz w:val="22"/>
          <w:szCs w:val="22"/>
        </w:rPr>
        <w:t xml:space="preserve">This policy defines how ConsumerFirst Retail handles consumer rights requests across all jurisdictions, balancing the GDPR 30-day response deadline, the CCPA 45-day response deadline, and similar timelines under Virginia, Colorado, and Connecticut state laws. The goal is consistent, timely responses regardless of which jurisdiction the consumer resides in.</w:t>
      </w:r>
    </w:p>
    <w:p>
      <w:pPr>
        <w:pStyle w:val="Heading2"/>
        <w:spacing w:after="120" w:before="240"/>
      </w:pPr>
      <w:r>
        <w:rPr>
          <w:rFonts w:ascii="Calibri" w:cs="Calibri" w:eastAsia="Calibri" w:hAnsi="Calibri"/>
          <w:b/>
          <w:bCs/>
          <w:sz w:val="30"/>
          <w:szCs w:val="30"/>
        </w:rPr>
        <w:t xml:space="preserve">2.2 Rights Covered</w:t>
      </w:r>
    </w:p>
    <w:p>
      <w:pPr>
        <w:pStyle w:val="ListParagraph"/>
        <w:numPr>
          <w:ilvl w:val="0"/>
          <w:numId w:val="2"/>
        </w:numPr>
        <w:spacing w:after="80"/>
      </w:pPr>
      <w:r>
        <w:rPr>
          <w:rFonts w:ascii="Calibri" w:cs="Calibri" w:eastAsia="Calibri" w:hAnsi="Calibri"/>
          <w:sz w:val="22"/>
          <w:szCs w:val="22"/>
        </w:rPr>
        <w:t xml:space="preserve">Right of access — customers may request confirmation that their personal data is processed and a copy of the data (GDPR Article 15, CCPA Section 1798.110, 1798.115).</w:t>
      </w:r>
    </w:p>
    <w:p>
      <w:pPr>
        <w:pStyle w:val="ListParagraph"/>
        <w:numPr>
          <w:ilvl w:val="0"/>
          <w:numId w:val="2"/>
        </w:numPr>
        <w:spacing w:after="80"/>
      </w:pPr>
      <w:r>
        <w:rPr>
          <w:rFonts w:ascii="Calibri" w:cs="Calibri" w:eastAsia="Calibri" w:hAnsi="Calibri"/>
          <w:sz w:val="22"/>
          <w:szCs w:val="22"/>
        </w:rPr>
        <w:t xml:space="preserve">Right to rectification — customers may request correction of inaccurate personal data (GDPR Article 16, state law equivalents).</w:t>
      </w:r>
    </w:p>
    <w:p>
      <w:pPr>
        <w:pStyle w:val="ListParagraph"/>
        <w:numPr>
          <w:ilvl w:val="0"/>
          <w:numId w:val="2"/>
        </w:numPr>
        <w:spacing w:after="80"/>
      </w:pPr>
      <w:r>
        <w:rPr>
          <w:rFonts w:ascii="Calibri" w:cs="Calibri" w:eastAsia="Calibri" w:hAnsi="Calibri"/>
          <w:sz w:val="22"/>
          <w:szCs w:val="22"/>
        </w:rPr>
        <w:t xml:space="preserve">Right to deletion — customers may request deletion subject to retention exceptions (GDPR Article 17, CCPA Section 1798.105).</w:t>
      </w:r>
    </w:p>
    <w:p>
      <w:pPr>
        <w:pStyle w:val="ListParagraph"/>
        <w:numPr>
          <w:ilvl w:val="0"/>
          <w:numId w:val="2"/>
        </w:numPr>
        <w:spacing w:after="80"/>
      </w:pPr>
      <w:r>
        <w:rPr>
          <w:rFonts w:ascii="Calibri" w:cs="Calibri" w:eastAsia="Calibri" w:hAnsi="Calibri"/>
          <w:sz w:val="22"/>
          <w:szCs w:val="22"/>
        </w:rPr>
        <w:t xml:space="preserve">Right to data portability — EU customers may request export in a structured machine-readable format (GDPR Article 20).</w:t>
      </w:r>
    </w:p>
    <w:p>
      <w:pPr>
        <w:pStyle w:val="ListParagraph"/>
        <w:numPr>
          <w:ilvl w:val="0"/>
          <w:numId w:val="2"/>
        </w:numPr>
        <w:spacing w:after="80"/>
      </w:pPr>
      <w:r>
        <w:rPr>
          <w:rFonts w:ascii="Calibri" w:cs="Calibri" w:eastAsia="Calibri" w:hAnsi="Calibri"/>
          <w:sz w:val="22"/>
          <w:szCs w:val="22"/>
        </w:rPr>
        <w:t xml:space="preserve">Right to opt out of sale and sharing — California customers may opt out under CCPA Section 1798.120 and CPRA sharing provisions.</w:t>
      </w:r>
    </w:p>
    <w:p>
      <w:pPr>
        <w:pStyle w:val="ListParagraph"/>
        <w:numPr>
          <w:ilvl w:val="0"/>
          <w:numId w:val="2"/>
        </w:numPr>
        <w:spacing w:after="80"/>
      </w:pPr>
      <w:r>
        <w:rPr>
          <w:rFonts w:ascii="Calibri" w:cs="Calibri" w:eastAsia="Calibri" w:hAnsi="Calibri"/>
          <w:sz w:val="22"/>
          <w:szCs w:val="22"/>
        </w:rPr>
        <w:t xml:space="preserve">Right to limit use of sensitive personal information — California customers may limit processing under CPRA Section 1798.121.</w:t>
      </w:r>
    </w:p>
    <w:p>
      <w:pPr>
        <w:pStyle w:val="ListParagraph"/>
        <w:numPr>
          <w:ilvl w:val="0"/>
          <w:numId w:val="2"/>
        </w:numPr>
        <w:spacing w:after="80"/>
      </w:pPr>
      <w:r>
        <w:rPr>
          <w:rFonts w:ascii="Calibri" w:cs="Calibri" w:eastAsia="Calibri" w:hAnsi="Calibri"/>
          <w:sz w:val="22"/>
          <w:szCs w:val="22"/>
        </w:rPr>
        <w:t xml:space="preserve">Right to object — EU customers may object to processing based on legitimate interest or for direct marketing under GDPR Article 21.</w:t>
      </w:r>
    </w:p>
    <w:p>
      <w:pPr>
        <w:pStyle w:val="ListParagraph"/>
        <w:numPr>
          <w:ilvl w:val="0"/>
          <w:numId w:val="2"/>
        </w:numPr>
        <w:spacing w:after="80"/>
      </w:pPr>
      <w:r>
        <w:rPr>
          <w:rFonts w:ascii="Calibri" w:cs="Calibri" w:eastAsia="Calibri" w:hAnsi="Calibri"/>
          <w:sz w:val="22"/>
          <w:szCs w:val="22"/>
        </w:rPr>
        <w:t xml:space="preserve">Rights related to automated decision-making — both EU and California customers have rights regarding profiling and automated decisions affecting them.</w:t>
      </w:r>
    </w:p>
    <w:p>
      <w:pPr>
        <w:pStyle w:val="Heading2"/>
        <w:spacing w:after="120" w:before="240"/>
      </w:pPr>
      <w:r>
        <w:rPr>
          <w:rFonts w:ascii="Calibri" w:cs="Calibri" w:eastAsia="Calibri" w:hAnsi="Calibri"/>
          <w:b/>
          <w:bCs/>
          <w:sz w:val="30"/>
          <w:szCs w:val="30"/>
        </w:rPr>
        <w:t xml:space="preserve">2.3 Intake Channels</w:t>
      </w:r>
    </w:p>
    <w:p>
      <w:pPr>
        <w:spacing w:after="120" w:line="300"/>
      </w:pPr>
      <w:r>
        <w:rPr>
          <w:rFonts w:ascii="Calibri" w:cs="Calibri" w:eastAsia="Calibri" w:hAnsi="Calibri"/>
          <w:sz w:val="22"/>
          <w:szCs w:val="22"/>
        </w:rPr>
        <w:t xml:space="preserve">Consumer rights requests are received through the privacy portal at consumerfirst.example/privacy, the privacy@consumerfirst.example mailbox, the toll-free privacy hotline required under CCPA, post to the registered office, and through customer service channels. All channels route to the central privacy request queue managed by the privacy operations team.</w:t>
      </w:r>
    </w:p>
    <w:p>
      <w:pPr>
        <w:pStyle w:val="Heading2"/>
        <w:spacing w:after="120" w:before="240"/>
      </w:pPr>
      <w:r>
        <w:rPr>
          <w:rFonts w:ascii="Calibri" w:cs="Calibri" w:eastAsia="Calibri" w:hAnsi="Calibri"/>
          <w:b/>
          <w:bCs/>
          <w:sz w:val="30"/>
          <w:szCs w:val="30"/>
        </w:rPr>
        <w:t xml:space="preserve">2.4 Response Timelines</w:t>
      </w:r>
    </w:p>
    <w:p>
      <w:pPr>
        <w:spacing w:after="120" w:line="300"/>
      </w:pPr>
      <w:r>
        <w:rPr>
          <w:rFonts w:ascii="Calibri" w:cs="Calibri" w:eastAsia="Calibri" w:hAnsi="Calibri"/>
          <w:sz w:val="22"/>
          <w:szCs w:val="22"/>
        </w:rPr>
        <w:t xml:space="preserve">Every request is logged with a unique reference number on receipt. Verification of identity is completed before any disclosure. The response deadline is the shorter of the applicable jurisdiction's deadline or 30 days from verified identity. For complex EU requests, the Article 12(3) extension of two additional months may be invoked with notice to the data subject within the first 30 days. For California requests, the CCPA permits a single 45-day extension with notice to the consumer.</w:t>
      </w:r>
    </w:p>
    <w:p>
      <w:pPr>
        <w:pStyle w:val="Heading2"/>
        <w:spacing w:after="120" w:before="240"/>
      </w:pPr>
      <w:r>
        <w:rPr>
          <w:rFonts w:ascii="Calibri" w:cs="Calibri" w:eastAsia="Calibri" w:hAnsi="Calibri"/>
          <w:b/>
          <w:bCs/>
          <w:sz w:val="30"/>
          <w:szCs w:val="30"/>
        </w:rPr>
        <w:t xml:space="preserve">2.5 Workflow Stages</w:t>
      </w:r>
    </w:p>
    <w:p>
      <w:pPr>
        <w:spacing w:after="120" w:line="300"/>
      </w:pPr>
      <w:r>
        <w:rPr>
          <w:rFonts w:ascii="Calibri" w:cs="Calibri" w:eastAsia="Calibri" w:hAnsi="Calibri"/>
          <w:sz w:val="22"/>
          <w:szCs w:val="22"/>
        </w:rPr>
        <w:t xml:space="preserve">Each request follows a documented six-stage workflow: intake and logging, identity verification using risk-appropriate methods, scope clarification, data collection across in-scope systems, review for third-party data and exemptions, and response delivery in a portable format where applicable. Each stage has a named owner and an SLA tied to the overall deadline.</w:t>
      </w:r>
    </w:p>
    <w:p>
      <w:pPr>
        <w:pStyle w:val="Heading2"/>
        <w:spacing w:after="120" w:before="240"/>
      </w:pPr>
      <w:r>
        <w:rPr>
          <w:rFonts w:ascii="Calibri" w:cs="Calibri" w:eastAsia="Calibri" w:hAnsi="Calibri"/>
          <w:b/>
          <w:bCs/>
          <w:sz w:val="30"/>
          <w:szCs w:val="30"/>
        </w:rPr>
        <w:t xml:space="preserve">2.6 Exemptions and Refusals</w:t>
      </w:r>
    </w:p>
    <w:p>
      <w:pPr>
        <w:spacing w:after="120" w:line="300"/>
      </w:pPr>
      <w:r>
        <w:rPr>
          <w:rFonts w:ascii="Calibri" w:cs="Calibri" w:eastAsia="Calibri" w:hAnsi="Calibri"/>
          <w:sz w:val="22"/>
          <w:szCs w:val="22"/>
        </w:rPr>
        <w:t xml:space="preserve">Requests may be refused or restricted where disclosure would adversely affect the rights of others, where data is subject to legal hold or pending litigation, where the request is manifestly unfounded or excessive, or where retention is required by law. All refusals include a written explanation, the right to appeal internally, and information on how to lodge a complaint with the relevant supervisory authority or the California Privacy Protection Agency.</w:t>
      </w:r>
    </w:p>
    <w:p>
      <w:pPr>
        <w:pStyle w:val="Heading2"/>
        <w:spacing w:after="120" w:before="240"/>
      </w:pPr>
      <w:r>
        <w:rPr>
          <w:rFonts w:ascii="Calibri" w:cs="Calibri" w:eastAsia="Calibri" w:hAnsi="Calibri"/>
          <w:b/>
          <w:bCs/>
          <w:sz w:val="30"/>
          <w:szCs w:val="30"/>
        </w:rPr>
        <w:t xml:space="preserve">2.7 Fees</w:t>
      </w:r>
    </w:p>
    <w:p>
      <w:pPr>
        <w:spacing w:after="120" w:line="300"/>
      </w:pPr>
      <w:r>
        <w:rPr>
          <w:rFonts w:ascii="Calibri" w:cs="Calibri" w:eastAsia="Calibri" w:hAnsi="Calibri"/>
          <w:sz w:val="22"/>
          <w:szCs w:val="22"/>
        </w:rPr>
        <w:t xml:space="preserve">Responses are provided free of charge under both GDPR and CCPA. Fees may be charged only where requests are manifestly unfounded or excessive, and the calculation is documented in the request record.</w:t>
      </w:r>
    </w:p>
    <w:p>
      <w:pPr>
        <w:pStyle w:val="Heading2"/>
        <w:spacing w:after="120" w:before="240"/>
      </w:pPr>
      <w:r>
        <w:rPr>
          <w:rFonts w:ascii="Calibri" w:cs="Calibri" w:eastAsia="Calibri" w:hAnsi="Calibri"/>
          <w:b/>
          <w:bCs/>
          <w:sz w:val="30"/>
          <w:szCs w:val="30"/>
        </w:rPr>
        <w:t xml:space="preserve">2.8 Non-Discrimination</w:t>
      </w:r>
    </w:p>
    <w:p>
      <w:pPr>
        <w:spacing w:after="120" w:line="300"/>
      </w:pPr>
      <w:r>
        <w:rPr>
          <w:rFonts w:ascii="Calibri" w:cs="Calibri" w:eastAsia="Calibri" w:hAnsi="Calibri"/>
          <w:sz w:val="22"/>
          <w:szCs w:val="22"/>
        </w:rPr>
        <w:t xml:space="preserve">ConsumerFirst does not discriminate against consumers for exercising their privacy rights as required by CCPA Section 1798.125. Loyalty program participation and pricing remain unchanged for customers who exercise their right to delete or opt out, except where the personal data is reasonably necessary to provide the loyalty benefit.</w:t>
      </w:r>
    </w:p>
    <w:p>
      <w:pPr>
        <w:pStyle w:val="Heading2"/>
        <w:spacing w:after="120" w:before="240"/>
      </w:pPr>
      <w:r>
        <w:rPr>
          <w:rFonts w:ascii="Calibri" w:cs="Calibri" w:eastAsia="Calibri" w:hAnsi="Calibri"/>
          <w:b/>
          <w:bCs/>
          <w:sz w:val="30"/>
          <w:szCs w:val="30"/>
        </w:rPr>
        <w:t xml:space="preserve">2.9 Reporting</w:t>
      </w:r>
    </w:p>
    <w:p>
      <w:pPr>
        <w:spacing w:after="120" w:line="300"/>
      </w:pPr>
      <w:r>
        <w:rPr>
          <w:rFonts w:ascii="Calibri" w:cs="Calibri" w:eastAsia="Calibri" w:hAnsi="Calibri"/>
          <w:sz w:val="22"/>
          <w:szCs w:val="22"/>
        </w:rPr>
        <w:t xml:space="preserve">Request volumes, response times, and exception rates are reported monthly to the Privacy Program Manager and quarterly to executive management. CCPA-required metrics on access, deletion, and opt-out requests are published in the privacy notice annually as required by California regulations.</w:t>
      </w:r>
    </w:p>
    <w:p>
      <w:r>
        <w:br w:type="page"/>
      </w:r>
    </w:p>
    <w:p>
      <w:pPr>
        <w:pStyle w:val="Heading1"/>
        <w:spacing w:after="120" w:before="360"/>
      </w:pPr>
      <w:r>
        <w:rPr>
          <w:rFonts w:ascii="Calibri" w:cs="Calibri" w:eastAsia="Calibri" w:hAnsi="Calibri"/>
          <w:b/>
          <w:bCs/>
          <w:sz w:val="36"/>
          <w:szCs w:val="36"/>
        </w:rPr>
        <w:t xml:space="preserve">3. Consent Management and Marketing Data Processing Policy</w:t>
      </w:r>
    </w:p>
    <w:p>
      <w:pPr>
        <w:pBdr>
          <w:bottom w:val="single" w:color="2E75B6" w:sz="6" w:space="1"/>
        </w:pBdr>
        <w:spacing w:after="2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Policy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POL-mna8a8at</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Approved</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Marketing Operations</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Last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2026</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Next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2027</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Applies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 marketing, e-commerce, and customer engagement teams using personal data for marketing, profiling, or behavioural analytics</w:t>
            </w:r>
          </w:p>
        </w:tc>
      </w:tr>
    </w:tbl>
    <w:p>
      <w:pPr>
        <w:pStyle w:val="Heading2"/>
        <w:spacing w:after="120" w:before="240"/>
      </w:pPr>
      <w:r>
        <w:rPr>
          <w:rFonts w:ascii="Calibri" w:cs="Calibri" w:eastAsia="Calibri" w:hAnsi="Calibri"/>
          <w:b/>
          <w:bCs/>
          <w:sz w:val="30"/>
          <w:szCs w:val="30"/>
        </w:rPr>
        <w:t xml:space="preserve">3.1 Purpose</w:t>
      </w:r>
    </w:p>
    <w:p>
      <w:pPr>
        <w:spacing w:after="120" w:line="300"/>
      </w:pPr>
      <w:r>
        <w:rPr>
          <w:rFonts w:ascii="Calibri" w:cs="Calibri" w:eastAsia="Calibri" w:hAnsi="Calibri"/>
          <w:sz w:val="22"/>
          <w:szCs w:val="22"/>
        </w:rPr>
        <w:t xml:space="preserve">This policy ensures that ConsumerFirst Retail collects, manages, and respects consumer consent and opt-out preferences in line with the differing requirements of GDPR (opt-in) and CCPA/CPRA (opt-out), as well as ePrivacy and equivalent rules. It addresses the risk of unlawful behavioural data processing identified in the privacy program risk assessment.</w:t>
      </w:r>
    </w:p>
    <w:p>
      <w:pPr>
        <w:pStyle w:val="Heading2"/>
        <w:spacing w:after="120" w:before="240"/>
      </w:pPr>
      <w:r>
        <w:rPr>
          <w:rFonts w:ascii="Calibri" w:cs="Calibri" w:eastAsia="Calibri" w:hAnsi="Calibri"/>
          <w:b/>
          <w:bCs/>
          <w:sz w:val="30"/>
          <w:szCs w:val="30"/>
        </w:rPr>
        <w:t xml:space="preserve">3.2 Scope</w:t>
      </w:r>
    </w:p>
    <w:p>
      <w:pPr>
        <w:spacing w:after="120" w:line="300"/>
      </w:pPr>
      <w:r>
        <w:rPr>
          <w:rFonts w:ascii="Calibri" w:cs="Calibri" w:eastAsia="Calibri" w:hAnsi="Calibri"/>
          <w:sz w:val="22"/>
          <w:szCs w:val="22"/>
        </w:rPr>
        <w:t xml:space="preserve">This policy applies to all processing of personal data for direct marketing, behavioural analytics, profiling, third-party advertising, and email or SMS communications. The Consent Management Platform (CMP) is the system of record for all consent and opt-out signals.</w:t>
      </w:r>
    </w:p>
    <w:p>
      <w:pPr>
        <w:pStyle w:val="Heading2"/>
        <w:spacing w:after="120" w:before="240"/>
      </w:pPr>
      <w:r>
        <w:rPr>
          <w:rFonts w:ascii="Calibri" w:cs="Calibri" w:eastAsia="Calibri" w:hAnsi="Calibri"/>
          <w:b/>
          <w:bCs/>
          <w:sz w:val="30"/>
          <w:szCs w:val="30"/>
        </w:rPr>
        <w:t xml:space="preserve">3.3 Consent Standards by Jurisdiction</w:t>
      </w:r>
    </w:p>
    <w:p>
      <w:pPr>
        <w:pStyle w:val="ListParagraph"/>
        <w:numPr>
          <w:ilvl w:val="0"/>
          <w:numId w:val="2"/>
        </w:numPr>
        <w:spacing w:after="80"/>
      </w:pPr>
      <w:r>
        <w:rPr>
          <w:rFonts w:ascii="Calibri" w:cs="Calibri" w:eastAsia="Calibri" w:hAnsi="Calibri"/>
          <w:sz w:val="22"/>
          <w:szCs w:val="22"/>
        </w:rPr>
        <w:t xml:space="preserve">EU customers — explicit, granular, freely-given, informed opt-in consent under GDPR Article 7 is required before any non-essential cookies, tracking, or marketing processing. Pre-ticked boxes and bundled consent are prohibited.</w:t>
      </w:r>
    </w:p>
    <w:p>
      <w:pPr>
        <w:pStyle w:val="ListParagraph"/>
        <w:numPr>
          <w:ilvl w:val="0"/>
          <w:numId w:val="2"/>
        </w:numPr>
        <w:spacing w:after="80"/>
      </w:pPr>
      <w:r>
        <w:rPr>
          <w:rFonts w:ascii="Calibri" w:cs="Calibri" w:eastAsia="Calibri" w:hAnsi="Calibri"/>
          <w:sz w:val="22"/>
          <w:szCs w:val="22"/>
        </w:rPr>
        <w:t xml:space="preserve">California customers — opt-out signals including the Global Privacy Control are honoured under CCPA Section 1798.135. Sensitive personal information processing requires opt-out under CPRA Section 1798.121.</w:t>
      </w:r>
    </w:p>
    <w:p>
      <w:pPr>
        <w:pStyle w:val="ListParagraph"/>
        <w:numPr>
          <w:ilvl w:val="0"/>
          <w:numId w:val="2"/>
        </w:numPr>
        <w:spacing w:after="80"/>
      </w:pPr>
      <w:r>
        <w:rPr>
          <w:rFonts w:ascii="Calibri" w:cs="Calibri" w:eastAsia="Calibri" w:hAnsi="Calibri"/>
          <w:sz w:val="22"/>
          <w:szCs w:val="22"/>
        </w:rPr>
        <w:t xml:space="preserve">Other US states — applicable opt-in or opt-out signals are honoured per state law (Virginia VCDPA, Colorado CPA, Connecticut CTDPA).</w:t>
      </w:r>
    </w:p>
    <w:p>
      <w:pPr>
        <w:pStyle w:val="ListParagraph"/>
        <w:numPr>
          <w:ilvl w:val="0"/>
          <w:numId w:val="2"/>
        </w:numPr>
        <w:spacing w:after="80"/>
      </w:pPr>
      <w:r>
        <w:rPr>
          <w:rFonts w:ascii="Calibri" w:cs="Calibri" w:eastAsia="Calibri" w:hAnsi="Calibri"/>
          <w:sz w:val="22"/>
          <w:szCs w:val="22"/>
        </w:rPr>
        <w:t xml:space="preserve">Children — verifiable parental consent is obtained for users known to be under the applicable age threshold (16 in EU per Article 8, 13 in US under COPPA, with state-specific variations).</w:t>
      </w:r>
    </w:p>
    <w:p>
      <w:pPr>
        <w:pStyle w:val="Heading2"/>
        <w:spacing w:after="120" w:before="240"/>
      </w:pPr>
      <w:r>
        <w:rPr>
          <w:rFonts w:ascii="Calibri" w:cs="Calibri" w:eastAsia="Calibri" w:hAnsi="Calibri"/>
          <w:b/>
          <w:bCs/>
          <w:sz w:val="30"/>
          <w:szCs w:val="30"/>
        </w:rPr>
        <w:t xml:space="preserve">3.4 Consent Capture and Recording</w:t>
      </w:r>
    </w:p>
    <w:p>
      <w:pPr>
        <w:spacing w:after="120" w:line="300"/>
      </w:pPr>
      <w:r>
        <w:rPr>
          <w:rFonts w:ascii="Calibri" w:cs="Calibri" w:eastAsia="Calibri" w:hAnsi="Calibri"/>
          <w:sz w:val="22"/>
          <w:szCs w:val="22"/>
        </w:rPr>
        <w:t xml:space="preserve">Every consent action is recorded in the CMP with timestamp, IP address (where lawful), consent text presented, jurisdiction, granular categories accepted or declined, and the version of the privacy notice in force at the time. Consent records are retained for the duration of processing plus the applicable limitation period for regulatory enforcement.</w:t>
      </w:r>
    </w:p>
    <w:p>
      <w:pPr>
        <w:pStyle w:val="Heading2"/>
        <w:spacing w:after="120" w:before="240"/>
      </w:pPr>
      <w:r>
        <w:rPr>
          <w:rFonts w:ascii="Calibri" w:cs="Calibri" w:eastAsia="Calibri" w:hAnsi="Calibri"/>
          <w:b/>
          <w:bCs/>
          <w:sz w:val="30"/>
          <w:szCs w:val="30"/>
        </w:rPr>
        <w:t xml:space="preserve">3.5 Withdrawal and Opt-Out</w:t>
      </w:r>
    </w:p>
    <w:p>
      <w:pPr>
        <w:spacing w:after="120" w:line="300"/>
      </w:pPr>
      <w:r>
        <w:rPr>
          <w:rFonts w:ascii="Calibri" w:cs="Calibri" w:eastAsia="Calibri" w:hAnsi="Calibri"/>
          <w:sz w:val="22"/>
          <w:szCs w:val="22"/>
        </w:rPr>
        <w:t xml:space="preserve">Withdrawal of consent must be as easy as giving consent under GDPR Article 7(3). The privacy preference centre permits one-click withdrawal of consent for each granular processing purpose. CCPA opt-out signals including the Global Privacy Control are processed within 15 business days as required by CPRA regulations.</w:t>
      </w:r>
    </w:p>
    <w:p>
      <w:pPr>
        <w:pStyle w:val="Heading2"/>
        <w:spacing w:after="120" w:before="240"/>
      </w:pPr>
      <w:r>
        <w:rPr>
          <w:rFonts w:ascii="Calibri" w:cs="Calibri" w:eastAsia="Calibri" w:hAnsi="Calibri"/>
          <w:b/>
          <w:bCs/>
          <w:sz w:val="30"/>
          <w:szCs w:val="30"/>
        </w:rPr>
        <w:t xml:space="preserve">3.6 Behavioural Analytics Boundaries</w:t>
      </w:r>
    </w:p>
    <w:p>
      <w:pPr>
        <w:spacing w:after="120" w:line="300"/>
      </w:pPr>
      <w:r>
        <w:rPr>
          <w:rFonts w:ascii="Calibri" w:cs="Calibri" w:eastAsia="Calibri" w:hAnsi="Calibri"/>
          <w:sz w:val="22"/>
          <w:szCs w:val="22"/>
        </w:rPr>
        <w:t xml:space="preserve">The behavioural analytics system processes customer behaviour data only where a valid lawful basis exists in the customer's jurisdiction. EU customers without consent are processed only at the aggregate, non-identifiable level. Sensitive personal information is excluded from behavioural profiling unless the customer has explicitly consented or has not exercised the CPRA right to limit.</w:t>
      </w:r>
    </w:p>
    <w:p>
      <w:pPr>
        <w:pStyle w:val="Heading2"/>
        <w:spacing w:after="120" w:before="240"/>
      </w:pPr>
      <w:r>
        <w:rPr>
          <w:rFonts w:ascii="Calibri" w:cs="Calibri" w:eastAsia="Calibri" w:hAnsi="Calibri"/>
          <w:b/>
          <w:bCs/>
          <w:sz w:val="30"/>
          <w:szCs w:val="30"/>
        </w:rPr>
        <w:t xml:space="preserve">3.7 Third-Party Marketing Partners</w:t>
      </w:r>
    </w:p>
    <w:p>
      <w:pPr>
        <w:spacing w:after="120" w:line="300"/>
      </w:pPr>
      <w:r>
        <w:rPr>
          <w:rFonts w:ascii="Calibri" w:cs="Calibri" w:eastAsia="Calibri" w:hAnsi="Calibri"/>
          <w:sz w:val="22"/>
          <w:szCs w:val="22"/>
        </w:rPr>
        <w:t xml:space="preserve">Personal data is shared with third-party marketing partners only after the customer's consent or opt-out status is verified. Partner integrations include consent or opt-out signal pass-through. Sharing without valid lawful basis is treated as a privacy incident under the breach notification policy.</w:t>
      </w:r>
    </w:p>
    <w:p>
      <w:pPr>
        <w:pStyle w:val="Heading2"/>
        <w:spacing w:after="120" w:before="240"/>
      </w:pPr>
      <w:r>
        <w:rPr>
          <w:rFonts w:ascii="Calibri" w:cs="Calibri" w:eastAsia="Calibri" w:hAnsi="Calibri"/>
          <w:b/>
          <w:bCs/>
          <w:sz w:val="30"/>
          <w:szCs w:val="30"/>
        </w:rPr>
        <w:t xml:space="preserve">3.8 Audit and Verification</w:t>
      </w:r>
    </w:p>
    <w:p>
      <w:pPr>
        <w:spacing w:after="120" w:line="300"/>
      </w:pPr>
      <w:r>
        <w:rPr>
          <w:rFonts w:ascii="Calibri" w:cs="Calibri" w:eastAsia="Calibri" w:hAnsi="Calibri"/>
          <w:sz w:val="22"/>
          <w:szCs w:val="22"/>
        </w:rPr>
        <w:t xml:space="preserve">The CMP and downstream systems are audited quarterly to verify that consent and opt-out signals are correctly captured, stored, propagated, and respected. Audit findings are tracked to closure. Deviations affecting more than 1,000 customers are escalated to the Privacy Program Manager for breach assessment.</w:t>
      </w:r>
    </w:p>
    <w:p>
      <w:r>
        <w:br w:type="page"/>
      </w:r>
    </w:p>
    <w:p>
      <w:pPr>
        <w:pStyle w:val="Heading1"/>
        <w:spacing w:after="120" w:before="360"/>
      </w:pPr>
      <w:r>
        <w:rPr>
          <w:rFonts w:ascii="Calibri" w:cs="Calibri" w:eastAsia="Calibri" w:hAnsi="Calibri"/>
          <w:b/>
          <w:bCs/>
          <w:sz w:val="36"/>
          <w:szCs w:val="36"/>
        </w:rPr>
        <w:t xml:space="preserve">4. Cross-Border Data Transfer and Third-Party Sharing Policy</w:t>
      </w:r>
    </w:p>
    <w:p>
      <w:pPr>
        <w:pBdr>
          <w:bottom w:val="single" w:color="2E75B6" w:sz="6" w:space="1"/>
        </w:pBdr>
        <w:spacing w:after="2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Policy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POL-mna8aua7</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Approved</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Privacy Program Manager</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Last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2026</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Next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2027</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Applies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 transfers of personal data outside the customer's jurisdiction, including third-party sharing with marketing partners, cloud providers, and corporate affiliates</w:t>
            </w:r>
          </w:p>
        </w:tc>
      </w:tr>
    </w:tbl>
    <w:p>
      <w:pPr>
        <w:pStyle w:val="Heading2"/>
        <w:spacing w:after="120" w:before="240"/>
      </w:pPr>
      <w:r>
        <w:rPr>
          <w:rFonts w:ascii="Calibri" w:cs="Calibri" w:eastAsia="Calibri" w:hAnsi="Calibri"/>
          <w:b/>
          <w:bCs/>
          <w:sz w:val="30"/>
          <w:szCs w:val="30"/>
        </w:rPr>
        <w:t xml:space="preserve">4.1 Purpose</w:t>
      </w:r>
    </w:p>
    <w:p>
      <w:pPr>
        <w:spacing w:after="120" w:line="300"/>
      </w:pPr>
      <w:r>
        <w:rPr>
          <w:rFonts w:ascii="Calibri" w:cs="Calibri" w:eastAsia="Calibri" w:hAnsi="Calibri"/>
          <w:sz w:val="22"/>
          <w:szCs w:val="22"/>
        </w:rPr>
        <w:t xml:space="preserve">This policy governs cross-border transfers of personal data from the EU and other restricted jurisdictions to third countries, including the United States. It ensures that transfers comply with GDPR Chapter V, Schrems II requirements, and applicable state law, including the CPRA provisions on cross-border sharing.</w:t>
      </w:r>
    </w:p>
    <w:p>
      <w:pPr>
        <w:pStyle w:val="Heading2"/>
        <w:spacing w:after="120" w:before="240"/>
      </w:pPr>
      <w:r>
        <w:rPr>
          <w:rFonts w:ascii="Calibri" w:cs="Calibri" w:eastAsia="Calibri" w:hAnsi="Calibri"/>
          <w:b/>
          <w:bCs/>
          <w:sz w:val="30"/>
          <w:szCs w:val="30"/>
        </w:rPr>
        <w:t xml:space="preserve">4.2 Scope</w:t>
      </w:r>
    </w:p>
    <w:p>
      <w:pPr>
        <w:spacing w:after="120" w:line="300"/>
      </w:pPr>
      <w:r>
        <w:rPr>
          <w:rFonts w:ascii="Calibri" w:cs="Calibri" w:eastAsia="Calibri" w:hAnsi="Calibri"/>
          <w:sz w:val="22"/>
          <w:szCs w:val="22"/>
        </w:rPr>
        <w:t xml:space="preserve">This policy applies to all transfers of personal data of EU, UK, Swiss, and other regulated-jurisdiction customers to systems, vendors, or affiliates located outside that jurisdiction. Particular attention is paid to transfers from the EU to the United States, which is the most material flow given ConsumerFirst's US headquarters.</w:t>
      </w:r>
    </w:p>
    <w:p>
      <w:pPr>
        <w:pStyle w:val="Heading2"/>
        <w:spacing w:after="120" w:before="240"/>
      </w:pPr>
      <w:r>
        <w:rPr>
          <w:rFonts w:ascii="Calibri" w:cs="Calibri" w:eastAsia="Calibri" w:hAnsi="Calibri"/>
          <w:b/>
          <w:bCs/>
          <w:sz w:val="30"/>
          <w:szCs w:val="30"/>
        </w:rPr>
        <w:t xml:space="preserve">4.3 Transfer Mechanisms</w:t>
      </w:r>
    </w:p>
    <w:p>
      <w:pPr>
        <w:pStyle w:val="ListParagraph"/>
        <w:numPr>
          <w:ilvl w:val="0"/>
          <w:numId w:val="2"/>
        </w:numPr>
        <w:spacing w:after="80"/>
      </w:pPr>
      <w:r>
        <w:rPr>
          <w:rFonts w:ascii="Calibri" w:cs="Calibri" w:eastAsia="Calibri" w:hAnsi="Calibri"/>
          <w:sz w:val="22"/>
          <w:szCs w:val="22"/>
        </w:rPr>
        <w:t xml:space="preserve">Adequacy decisions — transfers to jurisdictions with a current adequacy decision under GDPR Article 45 are permitted without additional safeguards.</w:t>
      </w:r>
    </w:p>
    <w:p>
      <w:pPr>
        <w:pStyle w:val="ListParagraph"/>
        <w:numPr>
          <w:ilvl w:val="0"/>
          <w:numId w:val="2"/>
        </w:numPr>
        <w:spacing w:after="80"/>
      </w:pPr>
      <w:r>
        <w:rPr>
          <w:rFonts w:ascii="Calibri" w:cs="Calibri" w:eastAsia="Calibri" w:hAnsi="Calibri"/>
          <w:sz w:val="22"/>
          <w:szCs w:val="22"/>
        </w:rPr>
        <w:t xml:space="preserve">Standard Contractual Clauses (SCCs) — the European Commission's 2021 SCCs are signed for all transfers to non-adequate jurisdictions, including transfers from EU to US.</w:t>
      </w:r>
    </w:p>
    <w:p>
      <w:pPr>
        <w:pStyle w:val="ListParagraph"/>
        <w:numPr>
          <w:ilvl w:val="0"/>
          <w:numId w:val="2"/>
        </w:numPr>
        <w:spacing w:after="80"/>
      </w:pPr>
      <w:r>
        <w:rPr>
          <w:rFonts w:ascii="Calibri" w:cs="Calibri" w:eastAsia="Calibri" w:hAnsi="Calibri"/>
          <w:sz w:val="22"/>
          <w:szCs w:val="22"/>
        </w:rPr>
        <w:t xml:space="preserve">Binding Corporate Rules (BCRs) — internal transfers between ConsumerFirst entities use approved BCRs once the application is granted by the lead supervisory authority.</w:t>
      </w:r>
    </w:p>
    <w:p>
      <w:pPr>
        <w:pStyle w:val="ListParagraph"/>
        <w:numPr>
          <w:ilvl w:val="0"/>
          <w:numId w:val="2"/>
        </w:numPr>
        <w:spacing w:after="80"/>
      </w:pPr>
      <w:r>
        <w:rPr>
          <w:rFonts w:ascii="Calibri" w:cs="Calibri" w:eastAsia="Calibri" w:hAnsi="Calibri"/>
          <w:sz w:val="22"/>
          <w:szCs w:val="22"/>
        </w:rPr>
        <w:t xml:space="preserve">Derogations — Article 49 derogations are used only for occasional, non-systematic transfers and are not relied upon for ongoing operational data flows.</w:t>
      </w:r>
    </w:p>
    <w:p>
      <w:pPr>
        <w:pStyle w:val="Heading2"/>
        <w:spacing w:after="120" w:before="240"/>
      </w:pPr>
      <w:r>
        <w:rPr>
          <w:rFonts w:ascii="Calibri" w:cs="Calibri" w:eastAsia="Calibri" w:hAnsi="Calibri"/>
          <w:b/>
          <w:bCs/>
          <w:sz w:val="30"/>
          <w:szCs w:val="30"/>
        </w:rPr>
        <w:t xml:space="preserve">4.4 Transfer Impact Assessments</w:t>
      </w:r>
    </w:p>
    <w:p>
      <w:pPr>
        <w:spacing w:after="120" w:line="300"/>
      </w:pPr>
      <w:r>
        <w:rPr>
          <w:rFonts w:ascii="Calibri" w:cs="Calibri" w:eastAsia="Calibri" w:hAnsi="Calibri"/>
          <w:sz w:val="22"/>
          <w:szCs w:val="22"/>
        </w:rPr>
        <w:t xml:space="preserve">A Transfer Impact Assessment (TIA) is performed for every transfer to a non-adequate jurisdiction. The TIA evaluates the destination country's surveillance laws, judicial redress mechanisms, and the practical likelihood of government access to the transferred data. Where the TIA identifies risks, supplementary measures are applied including encryption, pseudonymisation, contractual commitments, and technical access restrictions. Transfers cannot proceed where the TIA concludes that essentially equivalent protection is not achievable even with supplementary measures.</w:t>
      </w:r>
    </w:p>
    <w:p>
      <w:pPr>
        <w:pStyle w:val="Heading2"/>
        <w:spacing w:after="120" w:before="240"/>
      </w:pPr>
      <w:r>
        <w:rPr>
          <w:rFonts w:ascii="Calibri" w:cs="Calibri" w:eastAsia="Calibri" w:hAnsi="Calibri"/>
          <w:b/>
          <w:bCs/>
          <w:sz w:val="30"/>
          <w:szCs w:val="30"/>
        </w:rPr>
        <w:t xml:space="preserve">4.5 Vendor Due Diligence</w:t>
      </w:r>
    </w:p>
    <w:p>
      <w:pPr>
        <w:spacing w:after="120" w:line="300"/>
      </w:pPr>
      <w:r>
        <w:rPr>
          <w:rFonts w:ascii="Calibri" w:cs="Calibri" w:eastAsia="Calibri" w:hAnsi="Calibri"/>
          <w:sz w:val="22"/>
          <w:szCs w:val="22"/>
        </w:rPr>
        <w:t xml:space="preserve">Before any third party receives personal data, the vendor completes a privacy and security questionnaire. Required attestations include applicable certifications such as ISO 27001 and SOC 2 Type II, recent penetration testing, breach notification commitments, and data deletion or return obligations on contract end. The vendor risk register tracks all in-scope vendors with their classification, attestations, and renewal dates.</w:t>
      </w:r>
    </w:p>
    <w:p>
      <w:pPr>
        <w:pStyle w:val="Heading2"/>
        <w:spacing w:after="120" w:before="240"/>
      </w:pPr>
      <w:r>
        <w:rPr>
          <w:rFonts w:ascii="Calibri" w:cs="Calibri" w:eastAsia="Calibri" w:hAnsi="Calibri"/>
          <w:b/>
          <w:bCs/>
          <w:sz w:val="30"/>
          <w:szCs w:val="30"/>
        </w:rPr>
        <w:t xml:space="preserve">4.6 Data Processing Agreements</w:t>
      </w:r>
    </w:p>
    <w:p>
      <w:pPr>
        <w:spacing w:after="120" w:line="300"/>
      </w:pPr>
      <w:r>
        <w:rPr>
          <w:rFonts w:ascii="Calibri" w:cs="Calibri" w:eastAsia="Calibri" w:hAnsi="Calibri"/>
          <w:sz w:val="22"/>
          <w:szCs w:val="22"/>
        </w:rPr>
        <w:t xml:space="preserve">A signed Data Processing Agreement meeting GDPR Article 28(3) requirements is mandatory before any sharing of personal data with a processor. The DPA specifies the subject matter, duration, nature and purpose, type of personal data, categories of data subjects, and obligations of both parties. SCCs are appended where transfers are to non-adequate jurisdictions.</w:t>
      </w:r>
    </w:p>
    <w:p>
      <w:pPr>
        <w:pStyle w:val="Heading2"/>
        <w:spacing w:after="120" w:before="240"/>
      </w:pPr>
      <w:r>
        <w:rPr>
          <w:rFonts w:ascii="Calibri" w:cs="Calibri" w:eastAsia="Calibri" w:hAnsi="Calibri"/>
          <w:b/>
          <w:bCs/>
          <w:sz w:val="30"/>
          <w:szCs w:val="30"/>
        </w:rPr>
        <w:t xml:space="preserve">4.7 Sub-Processor Authorisation</w:t>
      </w:r>
    </w:p>
    <w:p>
      <w:pPr>
        <w:spacing w:after="120" w:line="300"/>
      </w:pPr>
      <w:r>
        <w:rPr>
          <w:rFonts w:ascii="Calibri" w:cs="Calibri" w:eastAsia="Calibri" w:hAnsi="Calibri"/>
          <w:sz w:val="22"/>
          <w:szCs w:val="22"/>
        </w:rPr>
        <w:t xml:space="preserve">Processors must obtain authorisation before engaging sub-processors. The authorisation may be specific (per sub-processor) or general (with notice and right to object). General authorisation includes a public list of approved sub-processors that the vendor must keep current. Material changes to the sub-processor list trigger review by the privacy operations team and may require renewed customer notice.</w:t>
      </w:r>
    </w:p>
    <w:p>
      <w:pPr>
        <w:pStyle w:val="Heading2"/>
        <w:spacing w:after="120" w:before="240"/>
      </w:pPr>
      <w:r>
        <w:rPr>
          <w:rFonts w:ascii="Calibri" w:cs="Calibri" w:eastAsia="Calibri" w:hAnsi="Calibri"/>
          <w:b/>
          <w:bCs/>
          <w:sz w:val="30"/>
          <w:szCs w:val="30"/>
        </w:rPr>
        <w:t xml:space="preserve">4.8 Ongoing Monitoring</w:t>
      </w:r>
    </w:p>
    <w:p>
      <w:pPr>
        <w:spacing w:after="120" w:line="300"/>
      </w:pPr>
      <w:r>
        <w:rPr>
          <w:rFonts w:ascii="Calibri" w:cs="Calibri" w:eastAsia="Calibri" w:hAnsi="Calibri"/>
          <w:sz w:val="22"/>
          <w:szCs w:val="22"/>
        </w:rPr>
        <w:t xml:space="preserve">Critical vendors receiving cross-border transfers are reviewed annually. Reviews include renewed attestation collection, incident review, sub-processor changes, and confirmation that the SCCs and DPA remain current. Material vendor changes — acquisitions, jurisdictional moves — trigger immediate reassessment.</w:t>
      </w:r>
    </w:p>
    <w:p>
      <w:r>
        <w:br w:type="page"/>
      </w:r>
    </w:p>
    <w:p>
      <w:pPr>
        <w:pStyle w:val="Heading1"/>
        <w:spacing w:after="120" w:before="360"/>
      </w:pPr>
      <w:r>
        <w:rPr>
          <w:rFonts w:ascii="Calibri" w:cs="Calibri" w:eastAsia="Calibri" w:hAnsi="Calibri"/>
          <w:b/>
          <w:bCs/>
          <w:sz w:val="36"/>
          <w:szCs w:val="36"/>
        </w:rPr>
        <w:t xml:space="preserve">5. Data Retention and Deletion Policy</w:t>
      </w:r>
    </w:p>
    <w:p>
      <w:pPr>
        <w:pBdr>
          <w:bottom w:val="single" w:color="2E75B6" w:sz="6" w:space="1"/>
        </w:pBdr>
        <w:spacing w:after="2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Policy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POL-mna8b8a4</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Approved</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Privacy Program Manager</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Last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2026</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Next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2027</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Applies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 systems and processes holding personal data of ConsumerFirst customers, employees, contractors, and prospects</w:t>
            </w:r>
          </w:p>
        </w:tc>
      </w:tr>
    </w:tbl>
    <w:p>
      <w:pPr>
        <w:pStyle w:val="Heading2"/>
        <w:spacing w:after="120" w:before="240"/>
      </w:pPr>
      <w:r>
        <w:rPr>
          <w:rFonts w:ascii="Calibri" w:cs="Calibri" w:eastAsia="Calibri" w:hAnsi="Calibri"/>
          <w:b/>
          <w:bCs/>
          <w:sz w:val="30"/>
          <w:szCs w:val="30"/>
        </w:rPr>
        <w:t xml:space="preserve">5.1 Purpose</w:t>
      </w:r>
    </w:p>
    <w:p>
      <w:pPr>
        <w:spacing w:after="120" w:line="300"/>
      </w:pPr>
      <w:r>
        <w:rPr>
          <w:rFonts w:ascii="Calibri" w:cs="Calibri" w:eastAsia="Calibri" w:hAnsi="Calibri"/>
          <w:sz w:val="22"/>
          <w:szCs w:val="22"/>
        </w:rPr>
        <w:t xml:space="preserve">This policy implements the storage limitation principle of GDPR Article 5(1)(e), CCPA data minimisation requirements, and equivalent state law obligations. Personal data is retained only for as long as needed for the original purpose or as required by law, after which it is deleted or anonymised.</w:t>
      </w:r>
    </w:p>
    <w:p>
      <w:pPr>
        <w:pStyle w:val="Heading2"/>
        <w:spacing w:after="120" w:before="240"/>
      </w:pPr>
      <w:r>
        <w:rPr>
          <w:rFonts w:ascii="Calibri" w:cs="Calibri" w:eastAsia="Calibri" w:hAnsi="Calibri"/>
          <w:b/>
          <w:bCs/>
          <w:sz w:val="30"/>
          <w:szCs w:val="30"/>
        </w:rPr>
        <w:t xml:space="preserve">5.2 Scope</w:t>
      </w:r>
    </w:p>
    <w:p>
      <w:pPr>
        <w:spacing w:after="120" w:line="300"/>
      </w:pPr>
      <w:r>
        <w:rPr>
          <w:rFonts w:ascii="Calibri" w:cs="Calibri" w:eastAsia="Calibri" w:hAnsi="Calibri"/>
          <w:sz w:val="22"/>
          <w:szCs w:val="22"/>
        </w:rPr>
        <w:t xml:space="preserve">This policy applies to personal data held in all production and non-production systems, including the e-commerce platform, customer data platform, behavioural analytics, loyalty database, customer support records, and backups. It also applies to physical records and end-user copies on employee endpoints.</w:t>
      </w:r>
    </w:p>
    <w:p>
      <w:pPr>
        <w:pStyle w:val="Heading2"/>
        <w:spacing w:after="120" w:before="240"/>
      </w:pPr>
      <w:r>
        <w:rPr>
          <w:rFonts w:ascii="Calibri" w:cs="Calibri" w:eastAsia="Calibri" w:hAnsi="Calibri"/>
          <w:b/>
          <w:bCs/>
          <w:sz w:val="30"/>
          <w:szCs w:val="30"/>
        </w:rPr>
        <w:t xml:space="preserve">5.3 Retention Schedule</w:t>
      </w:r>
    </w:p>
    <w:p>
      <w:pPr>
        <w:spacing w:after="120" w:line="300"/>
      </w:pPr>
      <w:r>
        <w:rPr>
          <w:rFonts w:ascii="Calibri" w:cs="Calibri" w:eastAsia="Calibri" w:hAnsi="Calibri"/>
          <w:sz w:val="22"/>
          <w:szCs w:val="22"/>
        </w:rPr>
        <w:t xml:space="preserve">A retention schedule is maintained covering each category of personal data. Examples of typical retention periods at ConsumerFirst include:</w:t>
      </w:r>
    </w:p>
    <w:p>
      <w:pPr>
        <w:pStyle w:val="ListParagraph"/>
        <w:numPr>
          <w:ilvl w:val="0"/>
          <w:numId w:val="2"/>
        </w:numPr>
        <w:spacing w:after="80"/>
      </w:pPr>
      <w:r>
        <w:rPr>
          <w:rFonts w:ascii="Calibri" w:cs="Calibri" w:eastAsia="Calibri" w:hAnsi="Calibri"/>
          <w:sz w:val="22"/>
          <w:szCs w:val="22"/>
        </w:rPr>
        <w:t xml:space="preserve">Active customer account data — retained while the account is active plus 24 months after last activity.</w:t>
      </w:r>
    </w:p>
    <w:p>
      <w:pPr>
        <w:pStyle w:val="ListParagraph"/>
        <w:numPr>
          <w:ilvl w:val="0"/>
          <w:numId w:val="2"/>
        </w:numPr>
        <w:spacing w:after="80"/>
      </w:pPr>
      <w:r>
        <w:rPr>
          <w:rFonts w:ascii="Calibri" w:cs="Calibri" w:eastAsia="Calibri" w:hAnsi="Calibri"/>
          <w:sz w:val="22"/>
          <w:szCs w:val="22"/>
        </w:rPr>
        <w:t xml:space="preserve">Order and transaction records — retained for 7 years to meet tax and consumer protection requirements.</w:t>
      </w:r>
    </w:p>
    <w:p>
      <w:pPr>
        <w:pStyle w:val="ListParagraph"/>
        <w:numPr>
          <w:ilvl w:val="0"/>
          <w:numId w:val="2"/>
        </w:numPr>
        <w:spacing w:after="80"/>
      </w:pPr>
      <w:r>
        <w:rPr>
          <w:rFonts w:ascii="Calibri" w:cs="Calibri" w:eastAsia="Calibri" w:hAnsi="Calibri"/>
          <w:sz w:val="22"/>
          <w:szCs w:val="22"/>
        </w:rPr>
        <w:t xml:space="preserve">Marketing consent records — retained for the duration of processing plus the applicable limitation period for regulatory enforcement.</w:t>
      </w:r>
    </w:p>
    <w:p>
      <w:pPr>
        <w:pStyle w:val="ListParagraph"/>
        <w:numPr>
          <w:ilvl w:val="0"/>
          <w:numId w:val="2"/>
        </w:numPr>
        <w:spacing w:after="80"/>
      </w:pPr>
      <w:r>
        <w:rPr>
          <w:rFonts w:ascii="Calibri" w:cs="Calibri" w:eastAsia="Calibri" w:hAnsi="Calibri"/>
          <w:sz w:val="22"/>
          <w:szCs w:val="22"/>
        </w:rPr>
        <w:t xml:space="preserve">Customer service interactions — retained for 24 months after case closure.</w:t>
      </w:r>
    </w:p>
    <w:p>
      <w:pPr>
        <w:pStyle w:val="ListParagraph"/>
        <w:numPr>
          <w:ilvl w:val="0"/>
          <w:numId w:val="2"/>
        </w:numPr>
        <w:spacing w:after="80"/>
      </w:pPr>
      <w:r>
        <w:rPr>
          <w:rFonts w:ascii="Calibri" w:cs="Calibri" w:eastAsia="Calibri" w:hAnsi="Calibri"/>
          <w:sz w:val="22"/>
          <w:szCs w:val="22"/>
        </w:rPr>
        <w:t xml:space="preserve">Behavioural analytics — retained for 13 months after collection in identifiable form, then anonymised or deleted.</w:t>
      </w:r>
    </w:p>
    <w:p>
      <w:pPr>
        <w:pStyle w:val="ListParagraph"/>
        <w:numPr>
          <w:ilvl w:val="0"/>
          <w:numId w:val="2"/>
        </w:numPr>
        <w:spacing w:after="80"/>
      </w:pPr>
      <w:r>
        <w:rPr>
          <w:rFonts w:ascii="Calibri" w:cs="Calibri" w:eastAsia="Calibri" w:hAnsi="Calibri"/>
          <w:sz w:val="22"/>
          <w:szCs w:val="22"/>
        </w:rPr>
        <w:t xml:space="preserve">CCTV footage in physical stores — retained for 30 days unless required for incident investigation.</w:t>
      </w:r>
    </w:p>
    <w:p>
      <w:pPr>
        <w:pStyle w:val="Heading2"/>
        <w:spacing w:after="120" w:before="240"/>
      </w:pPr>
      <w:r>
        <w:rPr>
          <w:rFonts w:ascii="Calibri" w:cs="Calibri" w:eastAsia="Calibri" w:hAnsi="Calibri"/>
          <w:b/>
          <w:bCs/>
          <w:sz w:val="30"/>
          <w:szCs w:val="30"/>
        </w:rPr>
        <w:t xml:space="preserve">5.4 Deletion Workflow</w:t>
      </w:r>
    </w:p>
    <w:p>
      <w:pPr>
        <w:spacing w:after="120" w:line="300"/>
      </w:pPr>
      <w:r>
        <w:rPr>
          <w:rFonts w:ascii="Calibri" w:cs="Calibri" w:eastAsia="Calibri" w:hAnsi="Calibri"/>
          <w:sz w:val="22"/>
          <w:szCs w:val="22"/>
        </w:rPr>
        <w:t xml:space="preserve">Deletion requests are propagated through a central data lifecycle management system that issues deletion commands to each downstream system holding the data. Deletion is logged in the privacy request system with timestamps from each downstream confirmation. Where backups contain the data, deletion is logical (suppressing access) until backup rotation results in physical deletion within the documented backup retention window.</w:t>
      </w:r>
    </w:p>
    <w:p>
      <w:pPr>
        <w:pStyle w:val="Heading2"/>
        <w:spacing w:after="120" w:before="240"/>
      </w:pPr>
      <w:r>
        <w:rPr>
          <w:rFonts w:ascii="Calibri" w:cs="Calibri" w:eastAsia="Calibri" w:hAnsi="Calibri"/>
          <w:b/>
          <w:bCs/>
          <w:sz w:val="30"/>
          <w:szCs w:val="30"/>
        </w:rPr>
        <w:t xml:space="preserve">5.5 Anonymisation as Alternative</w:t>
      </w:r>
    </w:p>
    <w:p>
      <w:pPr>
        <w:spacing w:after="120" w:line="300"/>
      </w:pPr>
      <w:r>
        <w:rPr>
          <w:rFonts w:ascii="Calibri" w:cs="Calibri" w:eastAsia="Calibri" w:hAnsi="Calibri"/>
          <w:sz w:val="22"/>
          <w:szCs w:val="22"/>
        </w:rPr>
        <w:t xml:space="preserve">Where retaining data in identifiable form is no longer necessary but aggregate insights remain valuable, data is anonymised using techniques that prevent re-identification under both GDPR Recital 26 and CCPA Section 1798.140 standards. Anonymisation is documented and the source data is then deleted from operational systems.</w:t>
      </w:r>
    </w:p>
    <w:p>
      <w:pPr>
        <w:pStyle w:val="Heading2"/>
        <w:spacing w:after="120" w:before="240"/>
      </w:pPr>
      <w:r>
        <w:rPr>
          <w:rFonts w:ascii="Calibri" w:cs="Calibri" w:eastAsia="Calibri" w:hAnsi="Calibri"/>
          <w:b/>
          <w:bCs/>
          <w:sz w:val="30"/>
          <w:szCs w:val="30"/>
        </w:rPr>
        <w:t xml:space="preserve">5.6 Legal Hold</w:t>
      </w:r>
    </w:p>
    <w:p>
      <w:pPr>
        <w:spacing w:after="120" w:line="300"/>
      </w:pPr>
      <w:r>
        <w:rPr>
          <w:rFonts w:ascii="Calibri" w:cs="Calibri" w:eastAsia="Calibri" w:hAnsi="Calibri"/>
          <w:sz w:val="22"/>
          <w:szCs w:val="22"/>
        </w:rPr>
        <w:t xml:space="preserve">Personal data subject to legal hold for litigation, regulatory investigation, or law enforcement request is exempt from routine deletion until the hold is released. Legal Hold is recorded in the data lifecycle management system and visible to system owners so that retention exceptions are deliberately applied, not accidentally extended.</w:t>
      </w:r>
    </w:p>
    <w:p>
      <w:pPr>
        <w:pStyle w:val="Heading2"/>
        <w:spacing w:after="120" w:before="240"/>
      </w:pPr>
      <w:r>
        <w:rPr>
          <w:rFonts w:ascii="Calibri" w:cs="Calibri" w:eastAsia="Calibri" w:hAnsi="Calibri"/>
          <w:b/>
          <w:bCs/>
          <w:sz w:val="30"/>
          <w:szCs w:val="30"/>
        </w:rPr>
        <w:t xml:space="preserve">5.7 Audit and Verification</w:t>
      </w:r>
    </w:p>
    <w:p>
      <w:pPr>
        <w:spacing w:after="120" w:line="300"/>
      </w:pPr>
      <w:r>
        <w:rPr>
          <w:rFonts w:ascii="Calibri" w:cs="Calibri" w:eastAsia="Calibri" w:hAnsi="Calibri"/>
          <w:sz w:val="22"/>
          <w:szCs w:val="22"/>
        </w:rPr>
        <w:t xml:space="preserve">Compliance with the retention schedule is audited annually. Sample-based testing verifies that data beyond retention is in fact deleted across in-scope systems. Audit findings are tracked to closure and material gaps are reported to the Privacy Program Manager.</w:t>
      </w:r>
    </w:p>
    <w:p>
      <w:pPr>
        <w:pStyle w:val="Heading2"/>
        <w:spacing w:after="120" w:before="240"/>
      </w:pPr>
      <w:r>
        <w:rPr>
          <w:rFonts w:ascii="Calibri" w:cs="Calibri" w:eastAsia="Calibri" w:hAnsi="Calibri"/>
          <w:b/>
          <w:bCs/>
          <w:sz w:val="30"/>
          <w:szCs w:val="30"/>
        </w:rPr>
        <w:t xml:space="preserve">5.8 Continuous Improvement</w:t>
      </w:r>
    </w:p>
    <w:p>
      <w:pPr>
        <w:spacing w:after="120" w:line="300"/>
      </w:pPr>
      <w:r>
        <w:rPr>
          <w:rFonts w:ascii="Calibri" w:cs="Calibri" w:eastAsia="Calibri" w:hAnsi="Calibri"/>
          <w:sz w:val="22"/>
          <w:szCs w:val="22"/>
        </w:rPr>
        <w:t xml:space="preserve">The retention schedule is reviewed annually for each data category to confirm that retention periods remain proportionate. Changes in regulation, business need, or risk profile may shorten retention. Extension of any retention period requires documented justification approved by the Privacy Program Manager.</w:t>
      </w:r>
    </w:p>
    <w:p>
      <w:r>
        <w:br w:type="page"/>
      </w:r>
    </w:p>
    <w:p>
      <w:pPr>
        <w:pStyle w:val="Heading1"/>
        <w:spacing w:after="120" w:before="360"/>
      </w:pPr>
      <w:r>
        <w:rPr>
          <w:rFonts w:ascii="Calibri" w:cs="Calibri" w:eastAsia="Calibri" w:hAnsi="Calibri"/>
          <w:b/>
          <w:bCs/>
          <w:sz w:val="36"/>
          <w:szCs w:val="36"/>
        </w:rPr>
        <w:t xml:space="preserve">Document Control</w:t>
      </w:r>
    </w:p>
    <w:p>
      <w:pPr>
        <w:pBdr>
          <w:bottom w:val="single" w:color="2E75B6" w:sz="6" w:space="1"/>
        </w:pBdr>
        <w:spacing w:after="2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808"/>
        <w:gridCol w:w="2808"/>
      </w:tblGrid>
      <w:tr>
        <w:tc>
          <w:tcPr>
            <w:tcW w:type="dxa" w:w="187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187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187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Approved By</w:t>
            </w:r>
          </w:p>
        </w:tc>
        <w:tc>
          <w:tcPr>
            <w:tcW w:type="dxa" w:w="187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Summary of Changes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 2026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Chief Legal Officer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Initial approved version covering all five global privacy policies.</w:t>
            </w:r>
          </w:p>
        </w:tc>
      </w:tr>
    </w:tbl>
    <w:p>
      <w:pPr>
        <w:spacing w:before="360"/>
      </w:pPr>
      <w:r>
        <w:rPr>
          <w:sz w:val="22"/>
          <w:szCs w:val="22"/>
        </w:rPr>
        <w:t xml:space="preserve"/>
      </w:r>
    </w:p>
    <w:p>
      <w:pPr>
        <w:pStyle w:val="Heading2"/>
        <w:spacing w:after="120" w:before="240"/>
      </w:pPr>
      <w:r>
        <w:rPr>
          <w:rFonts w:ascii="Calibri" w:cs="Calibri" w:eastAsia="Calibri" w:hAnsi="Calibri"/>
          <w:b/>
          <w:bCs/>
          <w:sz w:val="30"/>
          <w:szCs w:val="30"/>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Role</w:t>
            </w:r>
          </w:p>
        </w:tc>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Name</w:t>
            </w:r>
          </w:p>
        </w:tc>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Chief Legal Officer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K. Anderson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14 Mar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Privacy Program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S. Vasquez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14 Mar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EU Regional Privacy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L. Müller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14 Mar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VP Marketing Operations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T. Patel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14 Mar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Privacy Policy Suite</dc:title>
  <dc:creator>ConsumerFirst Retail Privacy Team</dc:creator>
  <cp:lastModifiedBy>Un-named</cp:lastModifiedBy>
  <cp:revision>1</cp:revision>
  <dcterms:created xsi:type="dcterms:W3CDTF">2026-04-30T14:31:43.270Z</dcterms:created>
  <dcterms:modified xsi:type="dcterms:W3CDTF">2026-04-30T14:31:43.271Z</dcterms:modified>
</cp:coreProperties>
</file>

<file path=docProps/custom.xml><?xml version="1.0" encoding="utf-8"?>
<Properties xmlns="http://schemas.openxmlformats.org/officeDocument/2006/custom-properties" xmlns:vt="http://schemas.openxmlformats.org/officeDocument/2006/docPropsVTypes"/>
</file>