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libri" w:cs="Calibri" w:eastAsia="Calibri" w:hAnsi="Calibri"/>
          <w:b/>
          <w:bCs/>
          <w:sz w:val="40"/>
          <w:szCs w:val="40"/>
        </w:rPr>
        <w:t xml:space="preserve">EuroShop GmbH</w:t>
      </w:r>
    </w:p>
    <w:p>
      <w:pPr>
        <w:spacing w:after="720"/>
        <w:jc w:val="center"/>
      </w:pPr>
      <w:r>
        <w:rPr>
          <w:rFonts w:ascii="Calibri" w:cs="Calibri" w:eastAsia="Calibri" w:hAnsi="Calibri"/>
          <w:b/>
          <w:bCs/>
          <w:color w:val="2E75B6"/>
          <w:sz w:val="32"/>
          <w:szCs w:val="32"/>
        </w:rPr>
        <w:t xml:space="preserve">GDPR Compliance Policy Suite</w:t>
      </w:r>
    </w:p>
    <w:p>
      <w:pPr>
        <w:spacing w:after="120"/>
        <w:jc w:val="center"/>
      </w:pPr>
      <w:r>
        <w:rPr>
          <w:rFonts w:ascii="Calibri" w:cs="Calibri" w:eastAsia="Calibri" w:hAnsi="Calibri"/>
          <w:color w:val="666666"/>
          <w:sz w:val="22"/>
          <w:szCs w:val="22"/>
        </w:rPr>
        <w:t xml:space="preserve">Consolidated GDPR policies covering data protection, data subject rights,</w:t>
      </w:r>
    </w:p>
    <w:p>
      <w:pPr>
        <w:spacing w:after="600"/>
        <w:jc w:val="center"/>
      </w:pPr>
      <w:r>
        <w:rPr>
          <w:rFonts w:ascii="Calibri" w:cs="Calibri" w:eastAsia="Calibri" w:hAnsi="Calibri"/>
          <w:color w:val="666666"/>
          <w:sz w:val="22"/>
          <w:szCs w:val="22"/>
        </w:rPr>
        <w:t xml:space="preserve">and third-party processor management</w:t>
      </w:r>
    </w:p>
    <w:p>
      <w:pPr>
        <w:spacing w:after="240" w:before="1200"/>
        <w:jc w:val="center"/>
      </w:pPr>
      <w:r>
        <w:rPr>
          <w:rFonts w:ascii="Calibri" w:cs="Calibri" w:eastAsia="Calibri" w:hAnsi="Calibri"/>
          <w:b/>
          <w:bCs/>
          <w:sz w:val="22"/>
          <w:szCs w:val="22"/>
        </w:rPr>
        <w:t xml:space="preserve">Document Status: Approved</w:t>
      </w:r>
    </w:p>
    <w:p>
      <w:pPr>
        <w:spacing w:after="120"/>
        <w:jc w:val="center"/>
      </w:pPr>
      <w:r>
        <w:rPr>
          <w:rFonts w:ascii="Calibri" w:cs="Calibri" w:eastAsia="Calibri" w:hAnsi="Calibri"/>
          <w:sz w:val="22"/>
          <w:szCs w:val="22"/>
        </w:rPr>
        <w:t xml:space="preserve">Last Review: 14 March 2026</w:t>
      </w:r>
    </w:p>
    <w:p>
      <w:pPr>
        <w:spacing w:after="120"/>
        <w:jc w:val="center"/>
      </w:pPr>
      <w:r>
        <w:rPr>
          <w:rFonts w:ascii="Calibri" w:cs="Calibri" w:eastAsia="Calibri" w:hAnsi="Calibri"/>
          <w:sz w:val="22"/>
          <w:szCs w:val="22"/>
        </w:rPr>
        <w:t xml:space="preserve">Next Review: March 2027</w:t>
      </w:r>
    </w:p>
    <w:p>
      <w:pPr>
        <w:spacing w:after="120"/>
        <w:jc w:val="center"/>
      </w:pPr>
      <w:r>
        <w:rPr>
          <w:rFonts w:ascii="Calibri" w:cs="Calibri" w:eastAsia="Calibri" w:hAnsi="Calibri"/>
          <w:sz w:val="22"/>
          <w:szCs w:val="22"/>
        </w:rPr>
        <w:t xml:space="preserve">Policy Owner: Data Protection Officer</w:t>
      </w:r>
    </w:p>
    <w:p>
      <w:r>
        <w:br w:type="page"/>
      </w:r>
    </w:p>
    <w:p>
      <w:pPr>
        <w:pStyle w:val="Heading1"/>
        <w:spacing w:after="120" w:before="360"/>
      </w:pPr>
      <w:r>
        <w:rPr>
          <w:rFonts w:ascii="Calibri" w:cs="Calibri" w:eastAsia="Calibri" w:hAnsi="Calibri"/>
          <w:b/>
          <w:bCs/>
          <w:sz w:val="36"/>
          <w:szCs w:val="36"/>
        </w:rPr>
        <w:t xml:space="preserve">Contents</w:t>
      </w:r>
    </w:p>
    <w:p>
      <w:pPr>
        <w:pBdr>
          <w:bottom w:val="single" w:color="2E75B6" w:sz="6" w:space="1"/>
        </w:pBdr>
        <w:spacing w:after="240" w:before="120"/>
      </w:pPr>
    </w:p>
    <w:p>
      <w:pPr>
        <w:spacing w:after="120"/>
      </w:pPr>
      <w:r>
        <w:rPr>
          <w:rFonts w:ascii="Calibri" w:cs="Calibri" w:eastAsia="Calibri" w:hAnsi="Calibri"/>
          <w:sz w:val="24"/>
          <w:szCs w:val="24"/>
        </w:rPr>
        <w:t xml:space="preserve">1. Data Protection and Privacy Policy</w:t>
      </w:r>
    </w:p>
    <w:p>
      <w:pPr>
        <w:spacing w:after="120"/>
      </w:pPr>
      <w:r>
        <w:rPr>
          <w:rFonts w:ascii="Calibri" w:cs="Calibri" w:eastAsia="Calibri" w:hAnsi="Calibri"/>
          <w:sz w:val="24"/>
          <w:szCs w:val="24"/>
        </w:rPr>
        <w:t xml:space="preserve">2. Data Subject Rights and DSAR Response Policy</w:t>
      </w:r>
    </w:p>
    <w:p>
      <w:pPr>
        <w:spacing w:after="120"/>
      </w:pPr>
      <w:r>
        <w:rPr>
          <w:rFonts w:ascii="Calibri" w:cs="Calibri" w:eastAsia="Calibri" w:hAnsi="Calibri"/>
          <w:sz w:val="24"/>
          <w:szCs w:val="24"/>
        </w:rPr>
        <w:t xml:space="preserve">3. Third-Party Data Processing and Vendor Agreement Policy</w:t>
      </w:r>
    </w:p>
    <w:p>
      <w:r>
        <w:br w:type="page"/>
      </w:r>
    </w:p>
    <w:p>
      <w:pPr>
        <w:pStyle w:val="Heading1"/>
        <w:spacing w:after="120" w:before="360"/>
      </w:pPr>
      <w:r>
        <w:rPr>
          <w:rFonts w:ascii="Calibri" w:cs="Calibri" w:eastAsia="Calibri" w:hAnsi="Calibri"/>
          <w:b/>
          <w:bCs/>
          <w:sz w:val="36"/>
          <w:szCs w:val="36"/>
        </w:rPr>
        <w:t xml:space="preserve">1. Data Protection and Privacy Policy</w:t>
      </w:r>
    </w:p>
    <w:p>
      <w:pPr>
        <w:pBdr>
          <w:bottom w:val="single" w:color="2E75B6" w:sz="6" w:space="1"/>
        </w:pBdr>
        <w:spacing w:after="2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Policy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POL-mn8iqe45</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Approved</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Owner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 Protection Officer</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Last Review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March 2026</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Next Review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March 2027</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Applies 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All EuroShop personnel, systems, and third-party processors handling personal data of EU residents</w:t>
            </w:r>
          </w:p>
        </w:tc>
      </w:tr>
    </w:tbl>
    <w:p>
      <w:pPr>
        <w:pStyle w:val="Heading2"/>
        <w:spacing w:after="120" w:before="240"/>
      </w:pPr>
      <w:r>
        <w:rPr>
          <w:rFonts w:ascii="Calibri" w:cs="Calibri" w:eastAsia="Calibri" w:hAnsi="Calibri"/>
          <w:b/>
          <w:bCs/>
          <w:sz w:val="30"/>
          <w:szCs w:val="30"/>
        </w:rPr>
        <w:t xml:space="preserve">1.1 Purpose</w:t>
      </w:r>
    </w:p>
    <w:p>
      <w:pPr>
        <w:spacing w:after="120" w:line="300"/>
      </w:pPr>
      <w:r>
        <w:rPr>
          <w:rFonts w:ascii="Calibri" w:cs="Calibri" w:eastAsia="Calibri" w:hAnsi="Calibri"/>
          <w:sz w:val="22"/>
          <w:szCs w:val="22"/>
        </w:rPr>
        <w:t xml:space="preserve">This policy defines how EuroShop GmbH collects, processes, stores, and protects personal data in line with the General Data Protection Regulation (EU) 2016/679. It establishes the accountability framework required under GDPR Article 5(2) and the organisational obligations under Articles 24, 25, and 32.</w:t>
      </w:r>
    </w:p>
    <w:p>
      <w:pPr>
        <w:pStyle w:val="Heading2"/>
        <w:spacing w:after="120" w:before="240"/>
      </w:pPr>
      <w:r>
        <w:rPr>
          <w:rFonts w:ascii="Calibri" w:cs="Calibri" w:eastAsia="Calibri" w:hAnsi="Calibri"/>
          <w:b/>
          <w:bCs/>
          <w:sz w:val="30"/>
          <w:szCs w:val="30"/>
        </w:rPr>
        <w:t xml:space="preserve">1.2 Scope</w:t>
      </w:r>
    </w:p>
    <w:p>
      <w:pPr>
        <w:spacing w:after="120" w:line="300"/>
      </w:pPr>
      <w:r>
        <w:rPr>
          <w:rFonts w:ascii="Calibri" w:cs="Calibri" w:eastAsia="Calibri" w:hAnsi="Calibri"/>
          <w:sz w:val="22"/>
          <w:szCs w:val="22"/>
        </w:rPr>
        <w:t xml:space="preserve">This policy applies to all processing of personal data of EU residents, including customers, employees, suppliers, and website visitors. It covers the Customer Data Platform, the Customer Database, the Marketing Analytics System, the Customer Support System, and any third-party payment processor acting as a data processor on EuroShop's behalf.</w:t>
      </w:r>
    </w:p>
    <w:p>
      <w:pPr>
        <w:pStyle w:val="Heading2"/>
        <w:spacing w:after="120" w:before="240"/>
      </w:pPr>
      <w:r>
        <w:rPr>
          <w:rFonts w:ascii="Calibri" w:cs="Calibri" w:eastAsia="Calibri" w:hAnsi="Calibri"/>
          <w:b/>
          <w:bCs/>
          <w:sz w:val="30"/>
          <w:szCs w:val="30"/>
        </w:rPr>
        <w:t xml:space="preserve">1.3 Principles</w:t>
      </w:r>
    </w:p>
    <w:p>
      <w:pPr>
        <w:spacing w:after="120" w:line="300"/>
      </w:pPr>
      <w:r>
        <w:rPr>
          <w:rFonts w:ascii="Calibri" w:cs="Calibri" w:eastAsia="Calibri" w:hAnsi="Calibri"/>
          <w:sz w:val="22"/>
          <w:szCs w:val="22"/>
        </w:rPr>
        <w:t xml:space="preserve">EuroShop processes personal data in accordance with the six GDPR principles under Article 5:</w:t>
      </w:r>
    </w:p>
    <w:p>
      <w:pPr>
        <w:pStyle w:val="ListParagraph"/>
        <w:numPr>
          <w:ilvl w:val="0"/>
          <w:numId w:val="2"/>
        </w:numPr>
        <w:spacing w:after="80"/>
      </w:pPr>
      <w:r>
        <w:rPr>
          <w:rFonts w:ascii="Calibri" w:cs="Calibri" w:eastAsia="Calibri" w:hAnsi="Calibri"/>
          <w:sz w:val="22"/>
          <w:szCs w:val="22"/>
        </w:rPr>
        <w:t xml:space="preserve">Lawfulness, fairness, and transparency — every processing activity is justified under a documented lawful basis.</w:t>
      </w:r>
    </w:p>
    <w:p>
      <w:pPr>
        <w:pStyle w:val="ListParagraph"/>
        <w:numPr>
          <w:ilvl w:val="0"/>
          <w:numId w:val="2"/>
        </w:numPr>
        <w:spacing w:after="80"/>
      </w:pPr>
      <w:r>
        <w:rPr>
          <w:rFonts w:ascii="Calibri" w:cs="Calibri" w:eastAsia="Calibri" w:hAnsi="Calibri"/>
          <w:sz w:val="22"/>
          <w:szCs w:val="22"/>
        </w:rPr>
        <w:t xml:space="preserve">Purpose limitation — data is collected for specific, explicit, and legitimate purposes and is not processed beyond those purposes.</w:t>
      </w:r>
    </w:p>
    <w:p>
      <w:pPr>
        <w:pStyle w:val="ListParagraph"/>
        <w:numPr>
          <w:ilvl w:val="0"/>
          <w:numId w:val="2"/>
        </w:numPr>
        <w:spacing w:after="80"/>
      </w:pPr>
      <w:r>
        <w:rPr>
          <w:rFonts w:ascii="Calibri" w:cs="Calibri" w:eastAsia="Calibri" w:hAnsi="Calibri"/>
          <w:sz w:val="22"/>
          <w:szCs w:val="22"/>
        </w:rPr>
        <w:t xml:space="preserve">Data minimisation — only the personal data necessary for each stated purpose is collected and retained.</w:t>
      </w:r>
    </w:p>
    <w:p>
      <w:pPr>
        <w:pStyle w:val="ListParagraph"/>
        <w:numPr>
          <w:ilvl w:val="0"/>
          <w:numId w:val="2"/>
        </w:numPr>
        <w:spacing w:after="80"/>
      </w:pPr>
      <w:r>
        <w:rPr>
          <w:rFonts w:ascii="Calibri" w:cs="Calibri" w:eastAsia="Calibri" w:hAnsi="Calibri"/>
          <w:sz w:val="22"/>
          <w:szCs w:val="22"/>
        </w:rPr>
        <w:t xml:space="preserve">Accuracy — personal data is kept accurate and up to date; inaccurate data is corrected without delay.</w:t>
      </w:r>
    </w:p>
    <w:p>
      <w:pPr>
        <w:pStyle w:val="ListParagraph"/>
        <w:numPr>
          <w:ilvl w:val="0"/>
          <w:numId w:val="2"/>
        </w:numPr>
        <w:spacing w:after="80"/>
      </w:pPr>
      <w:r>
        <w:rPr>
          <w:rFonts w:ascii="Calibri" w:cs="Calibri" w:eastAsia="Calibri" w:hAnsi="Calibri"/>
          <w:sz w:val="22"/>
          <w:szCs w:val="22"/>
        </w:rPr>
        <w:t xml:space="preserve">Storage limitation — personal data is retained only as long as needed for the purpose or regulatory obligation.</w:t>
      </w:r>
    </w:p>
    <w:p>
      <w:pPr>
        <w:pStyle w:val="ListParagraph"/>
        <w:numPr>
          <w:ilvl w:val="0"/>
          <w:numId w:val="2"/>
        </w:numPr>
        <w:spacing w:after="80"/>
      </w:pPr>
      <w:r>
        <w:rPr>
          <w:rFonts w:ascii="Calibri" w:cs="Calibri" w:eastAsia="Calibri" w:hAnsi="Calibri"/>
          <w:sz w:val="22"/>
          <w:szCs w:val="22"/>
        </w:rPr>
        <w:t xml:space="preserve">Integrity and confidentiality — appropriate technical and organisational measures protect personal data from unauthorised access, loss, or damage.</w:t>
      </w:r>
    </w:p>
    <w:p>
      <w:pPr>
        <w:pStyle w:val="Heading2"/>
        <w:spacing w:after="120" w:before="240"/>
      </w:pPr>
      <w:r>
        <w:rPr>
          <w:rFonts w:ascii="Calibri" w:cs="Calibri" w:eastAsia="Calibri" w:hAnsi="Calibri"/>
          <w:b/>
          <w:bCs/>
          <w:sz w:val="30"/>
          <w:szCs w:val="30"/>
        </w:rPr>
        <w:t xml:space="preserve">1.4 Lawful Basis for Processing</w:t>
      </w:r>
    </w:p>
    <w:p>
      <w:pPr>
        <w:spacing w:after="120" w:line="300"/>
      </w:pPr>
      <w:r>
        <w:rPr>
          <w:rFonts w:ascii="Calibri" w:cs="Calibri" w:eastAsia="Calibri" w:hAnsi="Calibri"/>
          <w:sz w:val="22"/>
          <w:szCs w:val="22"/>
        </w:rPr>
        <w:t xml:space="preserve">Each processing activity must be mapped to a lawful basis under GDPR Article 6 before processing begins. Marketing activities require explicit, granular consent under Article 6(1)(a). Contractual processing (order fulfilment, customer support) relies on Article 6(1)(b). Legal obligations (tax, fraud prevention) rely on Article 6(1)(c). Legitimate interest under Article 6(1)(f) requires a documented balancing test. Lawful bases are recorded in the Record of Processing Activities (ROPA) under Article 30.</w:t>
      </w:r>
    </w:p>
    <w:p>
      <w:pPr>
        <w:pStyle w:val="Heading2"/>
        <w:spacing w:after="120" w:before="240"/>
      </w:pPr>
      <w:r>
        <w:rPr>
          <w:rFonts w:ascii="Calibri" w:cs="Calibri" w:eastAsia="Calibri" w:hAnsi="Calibri"/>
          <w:b/>
          <w:bCs/>
          <w:sz w:val="30"/>
          <w:szCs w:val="30"/>
        </w:rPr>
        <w:t xml:space="preserve">1.5 Roles and Responsibilities</w:t>
      </w:r>
    </w:p>
    <w:p>
      <w:pPr>
        <w:spacing w:after="120" w:line="300"/>
      </w:pPr>
      <w:r>
        <w:rPr>
          <w:rFonts w:ascii="Calibri" w:cs="Calibri" w:eastAsia="Calibri" w:hAnsi="Calibri"/>
          <w:sz w:val="22"/>
          <w:szCs w:val="22"/>
        </w:rPr>
        <w:t xml:space="preserve">The Data Protection Officer (DPO) is the primary point of contact for supervisory authorities and data subjects. The DPO oversees GDPR compliance, advises on DPIAs under Article 35, and reports directly to executive management. System owners are accountable for the lawfulness of processing within their systems. The Chief Information Security Officer ensures technical controls meet Article 32 requirements. All employees are required to complete annual GDPR awareness training and report suspected breaches within four hours of discovery.</w:t>
      </w:r>
    </w:p>
    <w:p>
      <w:pPr>
        <w:pStyle w:val="Heading2"/>
        <w:spacing w:after="120" w:before="240"/>
      </w:pPr>
      <w:r>
        <w:rPr>
          <w:rFonts w:ascii="Calibri" w:cs="Calibri" w:eastAsia="Calibri" w:hAnsi="Calibri"/>
          <w:b/>
          <w:bCs/>
          <w:sz w:val="30"/>
          <w:szCs w:val="30"/>
        </w:rPr>
        <w:t xml:space="preserve">1.6 Data Protection Impact Assessments</w:t>
      </w:r>
    </w:p>
    <w:p>
      <w:pPr>
        <w:spacing w:after="120" w:line="300"/>
      </w:pPr>
      <w:r>
        <w:rPr>
          <w:rFonts w:ascii="Calibri" w:cs="Calibri" w:eastAsia="Calibri" w:hAnsi="Calibri"/>
          <w:sz w:val="22"/>
          <w:szCs w:val="22"/>
        </w:rPr>
        <w:t xml:space="preserve">A DPIA under Article 35 is mandatory before any new processing activity that is likely to result in a high risk to the rights and freedoms of data subjects. This includes large-scale processing of behavioural data, profiling with legal effects, and systematic monitoring of publicly accessible areas. The DPO reviews and signs off each DPIA. Where residual risk remains high after mitigation, prior consultation with the supervisory authority under Article 36 is required.</w:t>
      </w:r>
    </w:p>
    <w:p>
      <w:pPr>
        <w:pStyle w:val="Heading2"/>
        <w:spacing w:after="120" w:before="240"/>
      </w:pPr>
      <w:r>
        <w:rPr>
          <w:rFonts w:ascii="Calibri" w:cs="Calibri" w:eastAsia="Calibri" w:hAnsi="Calibri"/>
          <w:b/>
          <w:bCs/>
          <w:sz w:val="30"/>
          <w:szCs w:val="30"/>
        </w:rPr>
        <w:t xml:space="preserve">1.7 Breach Notification</w:t>
      </w:r>
    </w:p>
    <w:p>
      <w:pPr>
        <w:spacing w:after="120" w:line="300"/>
      </w:pPr>
      <w:r>
        <w:rPr>
          <w:rFonts w:ascii="Calibri" w:cs="Calibri" w:eastAsia="Calibri" w:hAnsi="Calibri"/>
          <w:sz w:val="22"/>
          <w:szCs w:val="22"/>
        </w:rPr>
        <w:t xml:space="preserve">Personal data breaches must be reported to the DPO within four hours of discovery. The DPO assesses breach severity and reports qualifying breaches to the lead supervisory authority within 72 hours of awareness under Article 33. Where the breach poses a high risk to affected data subjects, they are notified without undue delay under Article 34. A breach register is maintained and reviewed quarterly.</w:t>
      </w:r>
    </w:p>
    <w:p>
      <w:pPr>
        <w:pStyle w:val="Heading2"/>
        <w:spacing w:after="120" w:before="240"/>
      </w:pPr>
      <w:r>
        <w:rPr>
          <w:rFonts w:ascii="Calibri" w:cs="Calibri" w:eastAsia="Calibri" w:hAnsi="Calibri"/>
          <w:b/>
          <w:bCs/>
          <w:sz w:val="30"/>
          <w:szCs w:val="30"/>
        </w:rPr>
        <w:t xml:space="preserve">1.8 Enforcement</w:t>
      </w:r>
    </w:p>
    <w:p>
      <w:pPr>
        <w:spacing w:after="120" w:line="300"/>
      </w:pPr>
      <w:r>
        <w:rPr>
          <w:rFonts w:ascii="Calibri" w:cs="Calibri" w:eastAsia="Calibri" w:hAnsi="Calibri"/>
          <w:sz w:val="22"/>
          <w:szCs w:val="22"/>
        </w:rPr>
        <w:t xml:space="preserve">Violations of this policy are handled under the EuroShop disciplinary framework and may result in termination of employment or contract. Wilful or negligent breach of GDPR obligations by any employee may result in referral to the supervisory authority and civil or criminal proceedings under applicable member state law.</w:t>
      </w:r>
    </w:p>
    <w:p>
      <w:r>
        <w:br w:type="page"/>
      </w:r>
    </w:p>
    <w:p>
      <w:pPr>
        <w:pStyle w:val="Heading1"/>
        <w:spacing w:after="120" w:before="360"/>
      </w:pPr>
      <w:r>
        <w:rPr>
          <w:rFonts w:ascii="Calibri" w:cs="Calibri" w:eastAsia="Calibri" w:hAnsi="Calibri"/>
          <w:b/>
          <w:bCs/>
          <w:sz w:val="36"/>
          <w:szCs w:val="36"/>
        </w:rPr>
        <w:t xml:space="preserve">2. Data Subject Rights and DSAR Response Policy</w:t>
      </w:r>
    </w:p>
    <w:p>
      <w:pPr>
        <w:pBdr>
          <w:bottom w:val="single" w:color="2E75B6" w:sz="6" w:space="1"/>
        </w:pBdr>
        <w:spacing w:after="2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Policy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POL-mn8iqycc</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Approved</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Owner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 Protection Officer</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Last Review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March 2026</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Next Review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March 2027</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Applies 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All personnel handling data subject access requests, correction requests, deletion requests, and related GDPR rights inquiries</w:t>
            </w:r>
          </w:p>
        </w:tc>
      </w:tr>
    </w:tbl>
    <w:p>
      <w:pPr>
        <w:pStyle w:val="Heading2"/>
        <w:spacing w:after="120" w:before="240"/>
      </w:pPr>
      <w:r>
        <w:rPr>
          <w:rFonts w:ascii="Calibri" w:cs="Calibri" w:eastAsia="Calibri" w:hAnsi="Calibri"/>
          <w:b/>
          <w:bCs/>
          <w:sz w:val="30"/>
          <w:szCs w:val="30"/>
        </w:rPr>
        <w:t xml:space="preserve">2.1 Purpose</w:t>
      </w:r>
    </w:p>
    <w:p>
      <w:pPr>
        <w:spacing w:after="120" w:line="300"/>
      </w:pPr>
      <w:r>
        <w:rPr>
          <w:rFonts w:ascii="Calibri" w:cs="Calibri" w:eastAsia="Calibri" w:hAnsi="Calibri"/>
          <w:sz w:val="22"/>
          <w:szCs w:val="22"/>
        </w:rPr>
        <w:t xml:space="preserve">This policy defines how EuroShop handles Data Subject Access Requests (DSARs) and the other rights granted to data subjects under GDPR Articles 15 through 22. The goal is to respond within the 30-day statutory deadline while balancing legitimate exemptions and interests of third parties.</w:t>
      </w:r>
    </w:p>
    <w:p>
      <w:pPr>
        <w:pStyle w:val="Heading2"/>
        <w:spacing w:after="120" w:before="240"/>
      </w:pPr>
      <w:r>
        <w:rPr>
          <w:rFonts w:ascii="Calibri" w:cs="Calibri" w:eastAsia="Calibri" w:hAnsi="Calibri"/>
          <w:b/>
          <w:bCs/>
          <w:sz w:val="30"/>
          <w:szCs w:val="30"/>
        </w:rPr>
        <w:t xml:space="preserve">2.2 Data Subject Rights Covered</w:t>
      </w:r>
    </w:p>
    <w:p>
      <w:pPr>
        <w:pStyle w:val="ListParagraph"/>
        <w:numPr>
          <w:ilvl w:val="0"/>
          <w:numId w:val="2"/>
        </w:numPr>
        <w:spacing w:after="80"/>
      </w:pPr>
      <w:r>
        <w:rPr>
          <w:rFonts w:ascii="Calibri" w:cs="Calibri" w:eastAsia="Calibri" w:hAnsi="Calibri"/>
          <w:sz w:val="22"/>
          <w:szCs w:val="22"/>
        </w:rPr>
        <w:t xml:space="preserve">Right of access (Article 15) — the data subject may request confirmation of processing and a copy of their personal data.</w:t>
      </w:r>
    </w:p>
    <w:p>
      <w:pPr>
        <w:pStyle w:val="ListParagraph"/>
        <w:numPr>
          <w:ilvl w:val="0"/>
          <w:numId w:val="2"/>
        </w:numPr>
        <w:spacing w:after="80"/>
      </w:pPr>
      <w:r>
        <w:rPr>
          <w:rFonts w:ascii="Calibri" w:cs="Calibri" w:eastAsia="Calibri" w:hAnsi="Calibri"/>
          <w:sz w:val="22"/>
          <w:szCs w:val="22"/>
        </w:rPr>
        <w:t xml:space="preserve">Right to rectification (Article 16) — inaccurate personal data must be corrected without undue delay.</w:t>
      </w:r>
    </w:p>
    <w:p>
      <w:pPr>
        <w:pStyle w:val="ListParagraph"/>
        <w:numPr>
          <w:ilvl w:val="0"/>
          <w:numId w:val="2"/>
        </w:numPr>
        <w:spacing w:after="80"/>
      </w:pPr>
      <w:r>
        <w:rPr>
          <w:rFonts w:ascii="Calibri" w:cs="Calibri" w:eastAsia="Calibri" w:hAnsi="Calibri"/>
          <w:sz w:val="22"/>
          <w:szCs w:val="22"/>
        </w:rPr>
        <w:t xml:space="preserve">Right to erasure (Article 17) — data must be deleted where the legal basis no longer applies or consent is withdrawn.</w:t>
      </w:r>
    </w:p>
    <w:p>
      <w:pPr>
        <w:pStyle w:val="ListParagraph"/>
        <w:numPr>
          <w:ilvl w:val="0"/>
          <w:numId w:val="2"/>
        </w:numPr>
        <w:spacing w:after="80"/>
      </w:pPr>
      <w:r>
        <w:rPr>
          <w:rFonts w:ascii="Calibri" w:cs="Calibri" w:eastAsia="Calibri" w:hAnsi="Calibri"/>
          <w:sz w:val="22"/>
          <w:szCs w:val="22"/>
        </w:rPr>
        <w:t xml:space="preserve">Right to restriction of processing (Article 18) — processing is paused while accuracy or lawfulness is verified.</w:t>
      </w:r>
    </w:p>
    <w:p>
      <w:pPr>
        <w:pStyle w:val="ListParagraph"/>
        <w:numPr>
          <w:ilvl w:val="0"/>
          <w:numId w:val="2"/>
        </w:numPr>
        <w:spacing w:after="80"/>
      </w:pPr>
      <w:r>
        <w:rPr>
          <w:rFonts w:ascii="Calibri" w:cs="Calibri" w:eastAsia="Calibri" w:hAnsi="Calibri"/>
          <w:sz w:val="22"/>
          <w:szCs w:val="22"/>
        </w:rPr>
        <w:t xml:space="preserve">Right to data portability (Article 20) — data provided by the subject is exported in a structured, commonly used format.</w:t>
      </w:r>
    </w:p>
    <w:p>
      <w:pPr>
        <w:pStyle w:val="ListParagraph"/>
        <w:numPr>
          <w:ilvl w:val="0"/>
          <w:numId w:val="2"/>
        </w:numPr>
        <w:spacing w:after="80"/>
      </w:pPr>
      <w:r>
        <w:rPr>
          <w:rFonts w:ascii="Calibri" w:cs="Calibri" w:eastAsia="Calibri" w:hAnsi="Calibri"/>
          <w:sz w:val="22"/>
          <w:szCs w:val="22"/>
        </w:rPr>
        <w:t xml:space="preserve">Right to object (Article 21) — processing based on legitimate interest or direct marketing must stop on request.</w:t>
      </w:r>
    </w:p>
    <w:p>
      <w:pPr>
        <w:pStyle w:val="ListParagraph"/>
        <w:numPr>
          <w:ilvl w:val="0"/>
          <w:numId w:val="2"/>
        </w:numPr>
        <w:spacing w:after="80"/>
      </w:pPr>
      <w:r>
        <w:rPr>
          <w:rFonts w:ascii="Calibri" w:cs="Calibri" w:eastAsia="Calibri" w:hAnsi="Calibri"/>
          <w:sz w:val="22"/>
          <w:szCs w:val="22"/>
        </w:rPr>
        <w:t xml:space="preserve">Rights related to automated decision-making (Article 22) — data subjects can challenge automated decisions with legal effect.</w:t>
      </w:r>
    </w:p>
    <w:p>
      <w:pPr>
        <w:pStyle w:val="Heading2"/>
        <w:spacing w:after="120" w:before="240"/>
      </w:pPr>
      <w:r>
        <w:rPr>
          <w:rFonts w:ascii="Calibri" w:cs="Calibri" w:eastAsia="Calibri" w:hAnsi="Calibri"/>
          <w:b/>
          <w:bCs/>
          <w:sz w:val="30"/>
          <w:szCs w:val="30"/>
        </w:rPr>
        <w:t xml:space="preserve">2.3 Intake Channels</w:t>
      </w:r>
    </w:p>
    <w:p>
      <w:pPr>
        <w:spacing w:after="120" w:line="300"/>
      </w:pPr>
      <w:r>
        <w:rPr>
          <w:rFonts w:ascii="Calibri" w:cs="Calibri" w:eastAsia="Calibri" w:hAnsi="Calibri"/>
          <w:sz w:val="22"/>
          <w:szCs w:val="22"/>
        </w:rPr>
        <w:t xml:space="preserve">Data subjects can submit requests via the privacy portal on the website, the privacy@euroshop.example mailbox, post to the registered office, or through customer support channels. All channels route to the central DSAR intake queue monitored by the DPO team.</w:t>
      </w:r>
    </w:p>
    <w:p>
      <w:pPr>
        <w:pStyle w:val="Heading2"/>
        <w:spacing w:after="120" w:before="240"/>
      </w:pPr>
      <w:r>
        <w:rPr>
          <w:rFonts w:ascii="Calibri" w:cs="Calibri" w:eastAsia="Calibri" w:hAnsi="Calibri"/>
          <w:b/>
          <w:bCs/>
          <w:sz w:val="30"/>
          <w:szCs w:val="30"/>
        </w:rPr>
        <w:t xml:space="preserve">2.4 Response Timeline</w:t>
      </w:r>
    </w:p>
    <w:p>
      <w:pPr>
        <w:spacing w:after="120" w:line="300"/>
      </w:pPr>
      <w:r>
        <w:rPr>
          <w:rFonts w:ascii="Calibri" w:cs="Calibri" w:eastAsia="Calibri" w:hAnsi="Calibri"/>
          <w:sz w:val="22"/>
          <w:szCs w:val="22"/>
        </w:rPr>
        <w:t xml:space="preserve">Each request is logged on receipt with a unique reference number. The response deadline is 30 calendar days from verified identity. Where the request is complex or involves multiple data sources, the deadline may be extended once by a further two months under Article 12(3), with the data subject informed within the first 30 days. Identity verification is performed before disclosing any personal data; excessive identity checks that create friction are avoided.</w:t>
      </w:r>
    </w:p>
    <w:p>
      <w:pPr>
        <w:pStyle w:val="Heading2"/>
        <w:spacing w:after="120" w:before="240"/>
      </w:pPr>
      <w:r>
        <w:rPr>
          <w:rFonts w:ascii="Calibri" w:cs="Calibri" w:eastAsia="Calibri" w:hAnsi="Calibri"/>
          <w:b/>
          <w:bCs/>
          <w:sz w:val="30"/>
          <w:szCs w:val="30"/>
        </w:rPr>
        <w:t xml:space="preserve">2.5 Workflow</w:t>
      </w:r>
    </w:p>
    <w:p>
      <w:pPr>
        <w:spacing w:after="120" w:line="300"/>
      </w:pPr>
      <w:r>
        <w:rPr>
          <w:rFonts w:ascii="Calibri" w:cs="Calibri" w:eastAsia="Calibri" w:hAnsi="Calibri"/>
          <w:sz w:val="22"/>
          <w:szCs w:val="22"/>
        </w:rPr>
        <w:t xml:space="preserve">DSAR workflow consists of six stages: intake and logging, identity verification, scope clarification, data collection across in-scope systems, review for third-party data and exemptions, and response delivery. Each stage has a named owner and an SLA. A dashboard tracks all open DSARs with age against the deadline.</w:t>
      </w:r>
    </w:p>
    <w:p>
      <w:pPr>
        <w:pStyle w:val="Heading2"/>
        <w:spacing w:after="120" w:before="240"/>
      </w:pPr>
      <w:r>
        <w:rPr>
          <w:rFonts w:ascii="Calibri" w:cs="Calibri" w:eastAsia="Calibri" w:hAnsi="Calibri"/>
          <w:b/>
          <w:bCs/>
          <w:sz w:val="30"/>
          <w:szCs w:val="30"/>
        </w:rPr>
        <w:t xml:space="preserve">2.6 Exemptions</w:t>
      </w:r>
    </w:p>
    <w:p>
      <w:pPr>
        <w:spacing w:after="120" w:line="300"/>
      </w:pPr>
      <w:r>
        <w:rPr>
          <w:rFonts w:ascii="Calibri" w:cs="Calibri" w:eastAsia="Calibri" w:hAnsi="Calibri"/>
          <w:sz w:val="22"/>
          <w:szCs w:val="22"/>
        </w:rPr>
        <w:t xml:space="preserve">Requests may be refused or restricted where disclosure would adversely affect the rights of others, where data is subject to legal privilege, where the request is manifestly unfounded or excessive, or where disclosure would compromise a criminal investigation. All refusals include a written explanation and signposting to the supervisory authority and judicial remedy.</w:t>
      </w:r>
    </w:p>
    <w:p>
      <w:pPr>
        <w:pStyle w:val="Heading2"/>
        <w:spacing w:after="120" w:before="240"/>
      </w:pPr>
      <w:r>
        <w:rPr>
          <w:rFonts w:ascii="Calibri" w:cs="Calibri" w:eastAsia="Calibri" w:hAnsi="Calibri"/>
          <w:b/>
          <w:bCs/>
          <w:sz w:val="30"/>
          <w:szCs w:val="30"/>
        </w:rPr>
        <w:t xml:space="preserve">2.7 Fees</w:t>
      </w:r>
    </w:p>
    <w:p>
      <w:pPr>
        <w:spacing w:after="120" w:line="300"/>
      </w:pPr>
      <w:r>
        <w:rPr>
          <w:rFonts w:ascii="Calibri" w:cs="Calibri" w:eastAsia="Calibri" w:hAnsi="Calibri"/>
          <w:sz w:val="22"/>
          <w:szCs w:val="22"/>
        </w:rPr>
        <w:t xml:space="preserve">DSAR responses are provided free of charge. A reasonable administrative fee may be charged only where requests are manifestly unfounded, excessive, or repetitive, and the fee calculation is documented in the request file.</w:t>
      </w:r>
    </w:p>
    <w:p>
      <w:pPr>
        <w:pStyle w:val="Heading2"/>
        <w:spacing w:after="120" w:before="240"/>
      </w:pPr>
      <w:r>
        <w:rPr>
          <w:rFonts w:ascii="Calibri" w:cs="Calibri" w:eastAsia="Calibri" w:hAnsi="Calibri"/>
          <w:b/>
          <w:bCs/>
          <w:sz w:val="30"/>
          <w:szCs w:val="30"/>
        </w:rPr>
        <w:t xml:space="preserve">2.8 Metrics and Reporting</w:t>
      </w:r>
    </w:p>
    <w:p>
      <w:pPr>
        <w:spacing w:after="120" w:line="300"/>
      </w:pPr>
      <w:r>
        <w:rPr>
          <w:rFonts w:ascii="Calibri" w:cs="Calibri" w:eastAsia="Calibri" w:hAnsi="Calibri"/>
          <w:sz w:val="22"/>
          <w:szCs w:val="22"/>
        </w:rPr>
        <w:t xml:space="preserve">DSAR volumes, average response time, and exceptions are reported monthly to the DPO and quarterly to executive management. Any missed deadlines are investigated for root cause and corrective action.</w:t>
      </w:r>
    </w:p>
    <w:p>
      <w:r>
        <w:br w:type="page"/>
      </w:r>
    </w:p>
    <w:p>
      <w:pPr>
        <w:pStyle w:val="Heading1"/>
        <w:spacing w:after="120" w:before="360"/>
      </w:pPr>
      <w:r>
        <w:rPr>
          <w:rFonts w:ascii="Calibri" w:cs="Calibri" w:eastAsia="Calibri" w:hAnsi="Calibri"/>
          <w:b/>
          <w:bCs/>
          <w:sz w:val="36"/>
          <w:szCs w:val="36"/>
        </w:rPr>
        <w:t xml:space="preserve">3. Third-Party Data Processing and Vendor Agreement Policy</w:t>
      </w:r>
    </w:p>
    <w:p>
      <w:pPr>
        <w:pBdr>
          <w:bottom w:val="single" w:color="2E75B6" w:sz="6" w:space="1"/>
        </w:pBdr>
        <w:spacing w:after="2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Policy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POL-mn8iri6f</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Status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Approved</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Owner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TPRM Lead</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Last Review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March 2026</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Next Review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March 2027</w:t>
            </w:r>
          </w:p>
        </w:tc>
      </w:tr>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Applies 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All third-party vendors and processors that access, store, or process personal data on behalf of EuroShop</w:t>
            </w:r>
          </w:p>
        </w:tc>
      </w:tr>
    </w:tbl>
    <w:p>
      <w:pPr>
        <w:pStyle w:val="Heading2"/>
        <w:spacing w:after="120" w:before="240"/>
      </w:pPr>
      <w:r>
        <w:rPr>
          <w:rFonts w:ascii="Calibri" w:cs="Calibri" w:eastAsia="Calibri" w:hAnsi="Calibri"/>
          <w:b/>
          <w:bCs/>
          <w:sz w:val="30"/>
          <w:szCs w:val="30"/>
        </w:rPr>
        <w:t xml:space="preserve">3.1 Purpose</w:t>
      </w:r>
    </w:p>
    <w:p>
      <w:pPr>
        <w:spacing w:after="120" w:line="300"/>
      </w:pPr>
      <w:r>
        <w:rPr>
          <w:rFonts w:ascii="Calibri" w:cs="Calibri" w:eastAsia="Calibri" w:hAnsi="Calibri"/>
          <w:sz w:val="22"/>
          <w:szCs w:val="22"/>
        </w:rPr>
        <w:t xml:space="preserve">This policy governs the engagement of third parties that process personal data on behalf of EuroShop. It ensures that processor selection, contracting, and ongoing monitoring meet the requirements of GDPR Articles 28 and 32, and that EuroShop retains accountability for the lawful treatment of data throughout the vendor lifecycle.</w:t>
      </w:r>
    </w:p>
    <w:p>
      <w:pPr>
        <w:pStyle w:val="Heading2"/>
        <w:spacing w:after="120" w:before="240"/>
      </w:pPr>
      <w:r>
        <w:rPr>
          <w:rFonts w:ascii="Calibri" w:cs="Calibri" w:eastAsia="Calibri" w:hAnsi="Calibri"/>
          <w:b/>
          <w:bCs/>
          <w:sz w:val="30"/>
          <w:szCs w:val="30"/>
        </w:rPr>
        <w:t xml:space="preserve">3.2 Scope</w:t>
      </w:r>
    </w:p>
    <w:p>
      <w:pPr>
        <w:spacing w:after="120" w:line="300"/>
      </w:pPr>
      <w:r>
        <w:rPr>
          <w:rFonts w:ascii="Calibri" w:cs="Calibri" w:eastAsia="Calibri" w:hAnsi="Calibri"/>
          <w:sz w:val="22"/>
          <w:szCs w:val="22"/>
        </w:rPr>
        <w:t xml:space="preserve">This policy applies to all vendors classified as data processors or joint controllers under GDPR Article 26 or 28. Typical vendors in scope include the third-party payment processor, email marketing platforms, customer analytics providers, cloud infrastructure providers, and outsourced customer support. The TPRM Lead maintains the processor register.</w:t>
      </w:r>
    </w:p>
    <w:p>
      <w:pPr>
        <w:pStyle w:val="Heading2"/>
        <w:spacing w:after="120" w:before="240"/>
      </w:pPr>
      <w:r>
        <w:rPr>
          <w:rFonts w:ascii="Calibri" w:cs="Calibri" w:eastAsia="Calibri" w:hAnsi="Calibri"/>
          <w:b/>
          <w:bCs/>
          <w:sz w:val="30"/>
          <w:szCs w:val="30"/>
        </w:rPr>
        <w:t xml:space="preserve">3.3 Due Diligence Before Engagement</w:t>
      </w:r>
    </w:p>
    <w:p>
      <w:pPr>
        <w:spacing w:after="120" w:line="300"/>
      </w:pPr>
      <w:r>
        <w:rPr>
          <w:rFonts w:ascii="Calibri" w:cs="Calibri" w:eastAsia="Calibri" w:hAnsi="Calibri"/>
          <w:sz w:val="22"/>
          <w:szCs w:val="22"/>
        </w:rPr>
        <w:t xml:space="preserve">Before any personal data is shared, the vendor must complete a security questionnaire and provide evidence of appropriate technical and organisational measures under Article 32. This includes ISO 27001 certification, SOC 2 Type II reports, or equivalent attestations. For vendors without formal attestations, a detailed onsite or remote assessment is performed. Findings are tracked to closure before contracting.</w:t>
      </w:r>
    </w:p>
    <w:p>
      <w:pPr>
        <w:pStyle w:val="Heading2"/>
        <w:spacing w:after="120" w:before="240"/>
      </w:pPr>
      <w:r>
        <w:rPr>
          <w:rFonts w:ascii="Calibri" w:cs="Calibri" w:eastAsia="Calibri" w:hAnsi="Calibri"/>
          <w:b/>
          <w:bCs/>
          <w:sz w:val="30"/>
          <w:szCs w:val="30"/>
        </w:rPr>
        <w:t xml:space="preserve">3.4 Data Processing Agreement (DPA)</w:t>
      </w:r>
    </w:p>
    <w:p>
      <w:pPr>
        <w:spacing w:after="120" w:line="300"/>
      </w:pPr>
      <w:r>
        <w:rPr>
          <w:rFonts w:ascii="Calibri" w:cs="Calibri" w:eastAsia="Calibri" w:hAnsi="Calibri"/>
          <w:sz w:val="22"/>
          <w:szCs w:val="22"/>
        </w:rPr>
        <w:t xml:space="preserve">A signed DPA meeting GDPR Article 28(3) requirements is mandatory before any transfer of personal data. The DPA specifies the subject matter and duration of processing, the nature and purpose, the type of personal data, the categories of data subjects, and the obligations of the controller and processor. It includes clauses on confidentiality, security, sub-processor authorisation, assistance with data subject rights, breach notification timelines, audit rights, and deletion or return of data at contract end.</w:t>
      </w:r>
    </w:p>
    <w:p>
      <w:pPr>
        <w:pStyle w:val="Heading2"/>
        <w:spacing w:after="120" w:before="240"/>
      </w:pPr>
      <w:r>
        <w:rPr>
          <w:rFonts w:ascii="Calibri" w:cs="Calibri" w:eastAsia="Calibri" w:hAnsi="Calibri"/>
          <w:b/>
          <w:bCs/>
          <w:sz w:val="30"/>
          <w:szCs w:val="30"/>
        </w:rPr>
        <w:t xml:space="preserve">3.5 International Transfers</w:t>
      </w:r>
    </w:p>
    <w:p>
      <w:pPr>
        <w:spacing w:after="120" w:line="300"/>
      </w:pPr>
      <w:r>
        <w:rPr>
          <w:rFonts w:ascii="Calibri" w:cs="Calibri" w:eastAsia="Calibri" w:hAnsi="Calibri"/>
          <w:sz w:val="22"/>
          <w:szCs w:val="22"/>
        </w:rPr>
        <w:t xml:space="preserve">Where data is transferred outside the European Economic Area, the transfer must rely on an adequacy decision, Standard Contractual Clauses (SCCs) published by the European Commission, or another approved transfer mechanism under GDPR Chapter V. A transfer impact assessment is completed for each non-adequate jurisdiction, taking into account local law enforcement access and available supplementary measures.</w:t>
      </w:r>
    </w:p>
    <w:p>
      <w:pPr>
        <w:pStyle w:val="Heading2"/>
        <w:spacing w:after="120" w:before="240"/>
      </w:pPr>
      <w:r>
        <w:rPr>
          <w:rFonts w:ascii="Calibri" w:cs="Calibri" w:eastAsia="Calibri" w:hAnsi="Calibri"/>
          <w:b/>
          <w:bCs/>
          <w:sz w:val="30"/>
          <w:szCs w:val="30"/>
        </w:rPr>
        <w:t xml:space="preserve">3.6 Sub-Processor Management</w:t>
      </w:r>
    </w:p>
    <w:p>
      <w:pPr>
        <w:spacing w:after="120" w:line="300"/>
      </w:pPr>
      <w:r>
        <w:rPr>
          <w:rFonts w:ascii="Calibri" w:cs="Calibri" w:eastAsia="Calibri" w:hAnsi="Calibri"/>
          <w:sz w:val="22"/>
          <w:szCs w:val="22"/>
        </w:rPr>
        <w:t xml:space="preserve">Processors must not engage sub-processors without prior general or specific written authorisation from EuroShop. Where general authorisation applies, the processor must notify EuroShop of any intended change, and EuroShop retains the right to object. Sub-processors are subject to the same data protection obligations as the primary processor through flow-down clauses.</w:t>
      </w:r>
    </w:p>
    <w:p>
      <w:pPr>
        <w:pStyle w:val="Heading2"/>
        <w:spacing w:after="120" w:before="240"/>
      </w:pPr>
      <w:r>
        <w:rPr>
          <w:rFonts w:ascii="Calibri" w:cs="Calibri" w:eastAsia="Calibri" w:hAnsi="Calibri"/>
          <w:b/>
          <w:bCs/>
          <w:sz w:val="30"/>
          <w:szCs w:val="30"/>
        </w:rPr>
        <w:t xml:space="preserve">3.7 Ongoing Monitoring</w:t>
      </w:r>
    </w:p>
    <w:p>
      <w:pPr>
        <w:spacing w:after="120" w:line="300"/>
      </w:pPr>
      <w:r>
        <w:rPr>
          <w:rFonts w:ascii="Calibri" w:cs="Calibri" w:eastAsia="Calibri" w:hAnsi="Calibri"/>
          <w:sz w:val="22"/>
          <w:szCs w:val="22"/>
        </w:rPr>
        <w:t xml:space="preserve">Critical processors are reviewed at least annually. Reviews include renewed attestation collection, review of any incidents or findings reported during the year, verification of sub-processor changes, and confirmation that the DPA remains current. Processor risk is logged in the vendor risk register and scored on the same 5×5 matrix used for enterprise risks.</w:t>
      </w:r>
    </w:p>
    <w:p>
      <w:pPr>
        <w:pStyle w:val="Heading2"/>
        <w:spacing w:after="120" w:before="240"/>
      </w:pPr>
      <w:r>
        <w:rPr>
          <w:rFonts w:ascii="Calibri" w:cs="Calibri" w:eastAsia="Calibri" w:hAnsi="Calibri"/>
          <w:b/>
          <w:bCs/>
          <w:sz w:val="30"/>
          <w:szCs w:val="30"/>
        </w:rPr>
        <w:t xml:space="preserve">3.8 Termination and Offboarding</w:t>
      </w:r>
    </w:p>
    <w:p>
      <w:pPr>
        <w:spacing w:after="120" w:line="300"/>
      </w:pPr>
      <w:r>
        <w:rPr>
          <w:rFonts w:ascii="Calibri" w:cs="Calibri" w:eastAsia="Calibri" w:hAnsi="Calibri"/>
          <w:sz w:val="22"/>
          <w:szCs w:val="22"/>
        </w:rPr>
        <w:t xml:space="preserve">At contract end, the processor must either return all personal data to EuroShop or delete it, as specified in the DPA. A written attestation of deletion is collected and retained. Residual data retained for legal obligation reasons must be identified and the retention rationale recorded.</w:t>
      </w:r>
    </w:p>
    <w:p>
      <w:r>
        <w:br w:type="page"/>
      </w:r>
    </w:p>
    <w:p>
      <w:pPr>
        <w:pStyle w:val="Heading1"/>
        <w:spacing w:after="120" w:before="360"/>
      </w:pPr>
      <w:r>
        <w:rPr>
          <w:rFonts w:ascii="Calibri" w:cs="Calibri" w:eastAsia="Calibri" w:hAnsi="Calibri"/>
          <w:b/>
          <w:bCs/>
          <w:sz w:val="36"/>
          <w:szCs w:val="36"/>
        </w:rPr>
        <w:t xml:space="preserve">Document Control</w:t>
      </w:r>
    </w:p>
    <w:p>
      <w:pPr>
        <w:pBdr>
          <w:bottom w:val="single" w:color="2E75B6" w:sz="6" w:space="1"/>
        </w:pBdr>
        <w:spacing w:after="2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808"/>
        <w:gridCol w:w="2808"/>
      </w:tblGrid>
      <w:tr>
        <w:tc>
          <w:tcPr>
            <w:tcW w:type="dxa" w:w="1872"/>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Version</w:t>
            </w:r>
          </w:p>
        </w:tc>
        <w:tc>
          <w:tcPr>
            <w:tcW w:type="dxa" w:w="1872"/>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tcW w:type="dxa" w:w="1872"/>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Approved By</w:t>
            </w:r>
          </w:p>
        </w:tc>
        <w:tc>
          <w:tcPr>
            <w:tcW w:type="dxa" w:w="1872"/>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tcPr>
          <w:p>
            <w:r>
              <w:rPr>
                <w:rFonts w:ascii="Calibri" w:cs="Calibri" w:eastAsia="Calibri" w:hAnsi="Calibri"/>
                <w:b/>
                <w:bCs/>
                <w:color w:val="FFFFFF"/>
                <w:sz w:val="20"/>
                <w:szCs w:val="20"/>
              </w:rPr>
              <w:t xml:space="preserve">Summary of Changes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Mar 2026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Chief Privacy Officer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Initial approved version covering all three GDPR policies.</w:t>
            </w:r>
          </w:p>
        </w:tc>
      </w:tr>
    </w:tbl>
    <w:p>
      <w:pPr>
        <w:spacing w:before="360"/>
      </w:pPr>
      <w:r>
        <w:rPr>
          <w:sz w:val="22"/>
          <w:szCs w:val="22"/>
        </w:rPr>
        <w:t xml:space="preserve"/>
      </w:r>
    </w:p>
    <w:p>
      <w:pPr>
        <w:pStyle w:val="Heading2"/>
        <w:spacing w:after="120" w:before="240"/>
      </w:pPr>
      <w:r>
        <w:rPr>
          <w:rFonts w:ascii="Calibri" w:cs="Calibri" w:eastAsia="Calibri" w:hAnsi="Calibri"/>
          <w:b/>
          <w:bCs/>
          <w:sz w:val="30"/>
          <w:szCs w:val="30"/>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Role</w:t>
            </w:r>
          </w:p>
        </w:tc>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Name</w:t>
            </w:r>
          </w:p>
        </w:tc>
        <w:tc>
          <w:tcPr>
            <w:tcW w:type="dxa" w:w="3120"/>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rFonts w:ascii="Calibri" w:cs="Calibri" w:eastAsia="Calibri" w:hAnsi="Calibri"/>
                <w:b/>
                <w:bCs/>
                <w:sz w:val="20"/>
                <w:szCs w:val="20"/>
              </w:rPr>
              <w:t xml:space="preserve">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 Protection Officer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 Schneider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Mar 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Chief Privacy Officer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 Keller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Mar 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TPRM Lead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 Bianchi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14 Mar 2026</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GDPR Compliance Policy Suite</dc:title>
  <dc:creator>EuroShop GmbH GRC Team</dc:creator>
  <cp:lastModifiedBy>Un-named</cp:lastModifiedBy>
  <cp:revision>1</cp:revision>
  <dcterms:created xsi:type="dcterms:W3CDTF">2026-04-24T21:37:17.571Z</dcterms:created>
  <dcterms:modified xsi:type="dcterms:W3CDTF">2026-04-24T21:37:17.572Z</dcterms:modified>
</cp:coreProperties>
</file>

<file path=docProps/custom.xml><?xml version="1.0" encoding="utf-8"?>
<Properties xmlns="http://schemas.openxmlformats.org/officeDocument/2006/custom-properties" xmlns:vt="http://schemas.openxmlformats.org/officeDocument/2006/docPropsVTypes"/>
</file>