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Reflection</w:t>
      </w:r>
    </w:p>
    <w:p>
      <w:r>
        <w:t>AI evaluation tools can help generate candidate test cases, identify coverage gaps, and evaluate grounding and hallucination risks. However, they cannot fully replace human judgment for authorization, security, and business-rule validation.</w:t>
      </w:r>
    </w:p>
    <w:p>
      <w:r>
        <w:t>Checks that are likely to survive model changes include access control, lifecycle restrictions, citation presence, and refusal behavior. Exact response wording may change after model swaps and should be validated using resilient assertions.</w:t>
      </w:r>
    </w:p>
    <w:p>
      <w:r>
        <w:t>When using AI coding assistants, generated tests should be reviewed, simplified, and validated manually. The automation suite should remain data-driven, maintainable, and deterministic.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