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1F497D"/>
          <w:sz w:val="72"/>
        </w:rPr>
        <w:t>F&amp;O Analyzer</w:t>
      </w:r>
    </w:p>
    <w:p>
      <w:pPr>
        <w:jc w:val="center"/>
      </w:pPr>
      <w:r>
        <w:rPr>
          <w:rFonts w:ascii="Calibri" w:hAnsi="Calibri"/>
          <w:color w:val="2E74B5"/>
          <w:sz w:val="40"/>
        </w:rPr>
        <w:t>Analysis Strategy Documentation</w:t>
      </w:r>
    </w:p>
    <w:p/>
    <w:p>
      <w:pPr>
        <w:pBdr>
          <w:bottom w:val="single" w:sz="6" w:space="1" w:color="2E74B5"/>
        </w:pBdr>
        <w:spacing w:after="120"/>
      </w:pPr>
    </w:p>
    <w:p>
      <w:pPr>
        <w:spacing w:before="200"/>
        <w:jc w:val="center"/>
      </w:pPr>
      <w:r>
        <w:rPr>
          <w:rFonts w:ascii="Calibri" w:hAnsi="Calibri"/>
          <w:color w:val="404040"/>
          <w:sz w:val="22"/>
        </w:rPr>
        <w:t>NIFTY &amp; SENSEX Futures &amp; Options Analysis Dashboard</w:t>
        <w:br/>
        <w:t>FastAPI + Zerodha KiteConnect</w:t>
        <w:br/>
        <w:br/>
        <w:t>Covers 19+ Analysis Modules:</w:t>
        <w:br/>
        <w:t>Black-Scholes Greeks · Implied Volatility · PCR · Max Pain</w:t>
        <w:br/>
        <w:t>GEX · IV Surface · MTF Signals · Strategy Payoff · Backtesting</w:t>
      </w:r>
    </w:p>
    <w:p/>
    <w:p>
      <w:pPr>
        <w:pBdr>
          <w:bottom w:val="single" w:sz="6" w:space="1" w:color="2E74B5"/>
        </w:pBdr>
        <w:spacing w:after="120"/>
      </w:pPr>
    </w:p>
    <w:p>
      <w:pPr>
        <w:jc w:val="center"/>
      </w:pPr>
      <w:r>
        <w:rPr>
          <w:color w:val="707070"/>
          <w:sz w:val="20"/>
        </w:rPr>
        <w:t>Lot Sizes: NIFTY = 65  |  SENSEX = 20</w:t>
        <w:br/>
        <w:t>Version 1.0.0  |  June 2026</w:t>
      </w:r>
    </w:p>
    <w:p>
      <w:r>
        <w:br w:type="page"/>
      </w:r>
    </w:p>
    <w:p>
      <w:pPr/>
      <w:r>
        <w:t>*Covers every implemented feature, analysis rule, formula, and endpoint.*</w:t>
      </w:r>
    </w:p>
    <w:p>
      <w:pPr/>
      <w:r>
        <w:t>*Last updated: 12 Jun 2026*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2"/>
      </w:pPr>
      <w:r>
        <w:t>1. Architecture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6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Technology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Backend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 xml:space="preserve">Python · FastAPI · </w:t>
            </w:r>
            <w:r>
              <w:rPr>
                <w:rFonts w:ascii="Calibri" w:hAnsi="Calibri"/>
                <w:color w:val="C7254E"/>
                <w:sz w:val="18"/>
              </w:rPr>
              <w:t>kiteconnect</w:t>
            </w:r>
            <w:r>
              <w:rPr>
                <w:rFonts w:ascii="Calibri" w:hAnsi="Calibri"/>
                <w:sz w:val="18"/>
              </w:rPr>
              <w:t xml:space="preserve"> (Zerodha) · pandas/numpy</w:t>
            </w:r>
          </w:p>
        </w:tc>
      </w:tr>
      <w:tr>
        <w:tc>
          <w:tcPr>
            <w:tcW w:type="dxa" w:w="468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Frontend</w:t>
            </w:r>
          </w:p>
        </w:tc>
        <w:tc>
          <w:tcPr>
            <w:tcW w:type="dxa" w:w="468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Single-page app — [templates/index.html](templates/index.html) (vanilla JS, LightweightCharts v4, Chart.js v4)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Market data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Zerodha KiteConnect when logged in; deterministic simulated data otherwise (</w:t>
            </w:r>
            <w:r>
              <w:rPr>
                <w:rFonts w:ascii="Calibri" w:hAnsi="Calibri"/>
                <w:color w:val="C7254E"/>
                <w:sz w:val="18"/>
              </w:rPr>
              <w:t>mock_data.py</w:t>
            </w:r>
            <w:r>
              <w:rPr>
                <w:rFonts w:ascii="Calibri" w:hAnsi="Calibri"/>
                <w:sz w:val="18"/>
              </w:rPr>
              <w:t>)</w:t>
            </w:r>
          </w:p>
        </w:tc>
      </w:tr>
      <w:tr>
        <w:tc>
          <w:tcPr>
            <w:tcW w:type="dxa" w:w="468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Live updates</w:t>
            </w:r>
          </w:p>
        </w:tc>
        <w:tc>
          <w:tcPr>
            <w:tcW w:type="dxa" w:w="468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 xml:space="preserve">WebSocket </w:t>
            </w:r>
            <w:r>
              <w:rPr>
                <w:rFonts w:ascii="Calibri" w:hAnsi="Calibri"/>
                <w:color w:val="C7254E"/>
                <w:sz w:val="18"/>
              </w:rPr>
              <w:t>/ws/live</w:t>
            </w:r>
            <w:r>
              <w:rPr>
                <w:rFonts w:ascii="Calibri" w:hAnsi="Calibri"/>
                <w:sz w:val="18"/>
              </w:rPr>
              <w:t xml:space="preserve"> pushes NIFTY/SENSEX/VIX quotes every 2 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Deployment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color w:val="C7254E"/>
                <w:sz w:val="18"/>
              </w:rPr>
              <w:t>start_app.ps1</w:t>
            </w:r>
            <w:r>
              <w:rPr>
                <w:rFonts w:ascii="Calibri" w:hAnsi="Calibri"/>
                <w:sz w:val="18"/>
              </w:rPr>
              <w:t xml:space="preserve"> — uvicorn on port </w:t>
            </w:r>
            <w:r>
              <w:rPr>
                <w:rFonts w:ascii="Calibri" w:hAnsi="Calibri"/>
                <w:b/>
                <w:sz w:val="18"/>
              </w:rPr>
              <w:t>3000</w:t>
            </w:r>
            <w:r>
              <w:rPr>
                <w:rFonts w:ascii="Calibri" w:hAnsi="Calibri"/>
                <w:sz w:val="18"/>
              </w:rPr>
              <w:t xml:space="preserve"> + ngrok tunnel </w:t>
            </w:r>
            <w:r>
              <w:rPr>
                <w:rFonts w:ascii="Calibri" w:hAnsi="Calibri"/>
                <w:color w:val="C7254E"/>
                <w:sz w:val="18"/>
              </w:rPr>
              <w:t>https://herbs-idiocy-constable.ngrok-free.dev</w:t>
            </w:r>
            <w:r>
              <w:rPr>
                <w:rFonts w:ascii="Calibri" w:hAnsi="Calibri"/>
                <w:sz w:val="18"/>
              </w:rPr>
              <w:t xml:space="preserve"> (registered in Task Scheduler)</w:t>
            </w:r>
          </w:p>
        </w:tc>
      </w:tr>
      <w:tr>
        <w:tc>
          <w:tcPr>
            <w:tcW w:type="dxa" w:w="468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Dev preview</w:t>
            </w:r>
          </w:p>
        </w:tc>
        <w:tc>
          <w:tcPr>
            <w:tcW w:type="dxa" w:w="4680"/>
            <w:shd w:val="clear" w:color="auto" w:fill="EEF3FA"/>
          </w:tcPr>
          <w:p>
            <w:r>
              <w:rPr>
                <w:rFonts w:ascii="Calibri" w:hAnsi="Calibri"/>
                <w:color w:val="C7254E"/>
                <w:sz w:val="18"/>
              </w:rPr>
              <w:t>.claude/launch.json</w:t>
            </w:r>
            <w:r>
              <w:rPr>
                <w:rFonts w:ascii="Calibri" w:hAnsi="Calibri"/>
                <w:sz w:val="18"/>
              </w:rPr>
              <w:t xml:space="preserve"> — uvicorn on port 8000 with </w:t>
            </w:r>
            <w:r>
              <w:rPr>
                <w:rFonts w:ascii="Calibri" w:hAnsi="Calibri"/>
                <w:color w:val="C7254E"/>
                <w:sz w:val="18"/>
              </w:rPr>
              <w:t>--reload</w:t>
            </w:r>
          </w:p>
        </w:tc>
      </w:tr>
    </w:tbl>
    <w:p/>
    <w:p>
      <w:pPr/>
      <w:r>
        <w:rPr>
          <w:b/>
        </w:rPr>
        <w:t>Mock-data design:</w:t>
      </w:r>
      <w:r>
        <w:t xml:space="preserve"> every endpoint falls back to simulated data when not authenticated. Mock quotes are deterministic within 30-second windows and mock candles are deterministic per day/index/interval, so all views agree with each other and signals don't flap between refreshes.</w:t>
      </w:r>
    </w:p>
    <w:p>
      <w:pPr/>
      <w:r>
        <w:rPr>
          <w:b/>
        </w:rPr>
        <w:t>Key files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171717"/>
          <w:sz w:val="17"/>
        </w:rPr>
        <w:t>main.py                  — all API endpoints + signal engines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171717"/>
          <w:sz w:val="17"/>
        </w:rPr>
        <w:t>zerodha_client.py        — KiteConnect wrapper (auth, quotes, chain, orders, logout)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171717"/>
          <w:sz w:val="17"/>
        </w:rPr>
        <w:t>config.py                — tokens, lot sizes, strike intervals, expiry rules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171717"/>
          <w:sz w:val="17"/>
        </w:rPr>
        <w:t>mock_data.py             — deterministic simulated quotes/candles/chains/FII-DII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171717"/>
          <w:sz w:val="17"/>
        </w:rPr>
        <w:t>analysis/technical.py    — SMA/EMA/RSI/MACD/BB/ATR/Supertrend/Pivots/VWAP/Stochastic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171717"/>
          <w:sz w:val="17"/>
        </w:rPr>
        <w:t>analysis/options.py      — Greeks, IV, PCR, Max Pain, OI buildup, expected move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171717"/>
          <w:sz w:val="17"/>
        </w:rPr>
        <w:t>analysis/market_breadth.py — FII/DII, advance-decline, composite sentiment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171717"/>
          <w:sz w:val="17"/>
        </w:rPr>
        <w:t>analysis/signals.py      — trade-signal generation/formatting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171717"/>
          <w:sz w:val="17"/>
        </w:rPr>
        <w:t>templates/index.html     — the entire UI (11 menu tabs)</w:t>
      </w:r>
    </w:p>
    <w:p>
      <w:pPr>
        <w:spacing w:before="0" w:after="80"/>
      </w:pPr>
    </w:p>
    <w:p>
      <w:pPr>
        <w:pBdr>
          <w:bottom w:val="single" w:sz="6" w:space="1" w:color="2E74B5"/>
        </w:pBdr>
        <w:spacing w:after="120"/>
      </w:pPr>
    </w:p>
    <w:p>
      <w:pPr>
        <w:pStyle w:val="Heading2"/>
      </w:pPr>
      <w:r>
        <w:t>2. Authentication</w:t>
      </w:r>
    </w:p>
    <w:p>
      <w:pPr>
        <w:pStyle w:val="ListBullet"/>
      </w:pPr>
      <w:r>
        <w:rPr>
          <w:b/>
        </w:rPr>
        <w:t>Login:</w:t>
      </w:r>
      <w:r>
        <w:t xml:space="preserve"> </w:t>
      </w:r>
      <w:r>
        <w:rPr>
          <w:rFonts w:ascii="Courier New" w:hAnsi="Courier New"/>
          <w:color w:val="C7254E"/>
          <w:sz w:val="18"/>
        </w:rPr>
        <w:t>GET /api/auth/login</w:t>
      </w:r>
      <w:r>
        <w:t xml:space="preserve"> returns the Kite OAuth URL → callback </w:t>
      </w:r>
      <w:r>
        <w:rPr>
          <w:rFonts w:ascii="Courier New" w:hAnsi="Courier New"/>
          <w:color w:val="C7254E"/>
          <w:sz w:val="18"/>
        </w:rPr>
        <w:t>GET /api/auth/callback?request_token=…</w:t>
      </w:r>
      <w:r>
        <w:t xml:space="preserve"> exchanges it for an access token (</w:t>
      </w:r>
      <w:r>
        <w:rPr>
          <w:rFonts w:ascii="Courier New" w:hAnsi="Courier New"/>
          <w:color w:val="C7254E"/>
          <w:sz w:val="18"/>
        </w:rPr>
        <w:t>generate_session</w:t>
      </w:r>
      <w:r>
        <w:t>).</w:t>
      </w:r>
    </w:p>
    <w:p>
      <w:pPr>
        <w:pStyle w:val="ListBullet"/>
      </w:pPr>
      <w:r>
        <w:rPr>
          <w:b/>
        </w:rPr>
        <w:t>Logout:</w:t>
      </w:r>
      <w:r>
        <w:t xml:space="preserve"> </w:t>
      </w:r>
      <w:r>
        <w:rPr>
          <w:rFonts w:ascii="Courier New" w:hAnsi="Courier New"/>
          <w:color w:val="C7254E"/>
          <w:sz w:val="18"/>
        </w:rPr>
        <w:t>POST /api/auth/logout</w:t>
      </w:r>
      <w:r>
        <w:t xml:space="preserve"> calls Kite </w:t>
      </w:r>
      <w:r>
        <w:rPr>
          <w:rFonts w:ascii="Courier New" w:hAnsi="Courier New"/>
          <w:color w:val="C7254E"/>
          <w:sz w:val="18"/>
        </w:rPr>
        <w:t>invalidate_access_token()</w:t>
      </w:r>
      <w:r>
        <w:t xml:space="preserve"> (kills the session server-side at Zerodha) and clears the local token. Red </w:t>
      </w:r>
      <w:r>
        <w:rPr>
          <w:b/>
        </w:rPr>
        <w:t>Logout</w:t>
      </w:r>
      <w:r>
        <w:t xml:space="preserve"> button appears in the navbar only while connected; confirmation dialog warns that data switches to mock.</w:t>
      </w:r>
    </w:p>
    <w:p>
      <w:pPr>
        <w:pStyle w:val="ListBullet"/>
      </w:pPr>
      <w:r>
        <w:rPr>
          <w:b/>
        </w:rPr>
        <w:t>Status:</w:t>
      </w:r>
      <w:r>
        <w:t xml:space="preserve"> </w:t>
      </w:r>
      <w:r>
        <w:rPr>
          <w:rFonts w:ascii="Courier New" w:hAnsi="Courier New"/>
          <w:color w:val="C7254E"/>
          <w:sz w:val="18"/>
        </w:rPr>
        <w:t>GET /api/auth/status</w:t>
      </w:r>
      <w:r>
        <w:t xml:space="preserve"> → </w:t>
      </w:r>
      <w:r>
        <w:rPr>
          <w:rFonts w:ascii="Courier New" w:hAnsi="Courier New"/>
          <w:color w:val="C7254E"/>
          <w:sz w:val="18"/>
        </w:rPr>
        <w:t>{authenticated: bool}</w:t>
      </w:r>
      <w:r>
        <w:t xml:space="preserve">. Navbar shows blue </w:t>
      </w:r>
      <w:r>
        <w:rPr>
          <w:b/>
        </w:rPr>
        <w:t>Login</w:t>
      </w:r>
      <w:r>
        <w:t xml:space="preserve"> → green </w:t>
      </w:r>
      <w:r>
        <w:rPr>
          <w:b/>
        </w:rPr>
        <w:t>Connected</w:t>
      </w:r>
      <w:r>
        <w:t>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2"/>
      </w:pPr>
      <w:r>
        <w:t>3. Expiry Rules (config.py)</w:t>
      </w:r>
    </w:p>
    <w:p>
      <w:pPr/>
      <w:r>
        <w:t>Updated to post-Sep-2025 exchange rules: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Index</w:t>
            </w:r>
          </w:p>
        </w:tc>
        <w:tc>
          <w:tcPr>
            <w:tcW w:type="dxa" w:w="312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Weekly expiry</w:t>
            </w:r>
          </w:p>
        </w:tc>
        <w:tc>
          <w:tcPr>
            <w:tcW w:type="dxa" w:w="312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Monthly expiry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NIFTY / BANKNIFTY / FINNIFTY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Tuesday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Last Tuesday</w:t>
            </w:r>
          </w:p>
        </w:tc>
      </w:tr>
      <w:tr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SENSEX</w:t>
            </w:r>
          </w:p>
        </w:tc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b/>
                <w:sz w:val="18"/>
              </w:rPr>
              <w:t>Thursday</w:t>
            </w:r>
          </w:p>
        </w:tc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Last Thursday</w:t>
            </w:r>
          </w:p>
        </w:tc>
      </w:tr>
    </w:tbl>
    <w:p/>
    <w:p>
      <w:pPr/>
      <w:r>
        <w:t xml:space="preserve">When authenticated, the Algo additionally reads </w:t>
      </w:r>
      <w:r>
        <w:rPr>
          <w:b/>
        </w:rPr>
        <w:t>real expiry dates from the Zerodha instrument list</w:t>
      </w:r>
      <w:r>
        <w:t>, so it stays correct even if exchanges change rules again.</w:t>
      </w:r>
    </w:p>
    <w:p>
      <w:pPr/>
      <w:r>
        <w:t>Lot sizes (</w:t>
      </w:r>
      <w:r>
        <w:rPr>
          <w:rFonts w:ascii="Courier New" w:hAnsi="Courier New"/>
          <w:color w:val="C7254E"/>
          <w:sz w:val="18"/>
        </w:rPr>
        <w:t>LOT_SIZES</w:t>
      </w:r>
      <w:r>
        <w:t>): NIFTY 65, SENSEX 20, BANKNIFTY 15, FINNIFTY 40. Strike intervals: NIFTY 50, SENSEX 100.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2"/>
      </w:pPr>
      <w:r>
        <w:t>4. Menu-by-Menu Implementation</w:t>
      </w:r>
    </w:p>
    <w:p>
      <w:pPr>
        <w:pStyle w:val="Heading3"/>
      </w:pPr>
      <w:r>
        <w:t>4.1 📊 Dashboard</w:t>
      </w:r>
    </w:p>
    <w:p>
      <w:pPr>
        <w:pStyle w:val="ListBullet"/>
      </w:pPr>
      <w:r>
        <w:rPr>
          <w:b/>
        </w:rPr>
        <w:t>Market Sentiment gauge</w:t>
      </w:r>
      <w:r>
        <w:t xml:space="preserve"> — composite score from 5 components (see §5.6). Needle moves continuously with the score; explanation text under the gauge ("Combines PCR, VIX, market breadth &amp; FII flows · Left = bearish · Right = bullish").</w:t>
      </w:r>
    </w:p>
    <w:p>
      <w:pPr>
        <w:pStyle w:val="ListBullet"/>
      </w:pPr>
      <w:r>
        <w:rPr>
          <w:b/>
        </w:rPr>
        <w:t>Sentiment Drivers table</w:t>
      </w:r>
      <w:r>
        <w:t xml:space="preserve"> — per-factor value/signal/score with a decoding footer (PCR &gt; 1 = put writers active, etc.). The component scores sum exactly to the gauge score.</w:t>
      </w:r>
    </w:p>
    <w:p>
      <w:pPr>
        <w:pStyle w:val="ListBullet"/>
      </w:pPr>
      <w:r>
        <w:rPr>
          <w:b/>
        </w:rPr>
        <w:t>Signal cards (NIFTY &amp; SENSEX)</w:t>
      </w:r>
      <w:r>
        <w:t xml:space="preserve"> — entry/target/SL/R:R/expiry/bias plus an </w:t>
      </w:r>
      <w:r>
        <w:rPr>
          <w:b/>
        </w:rPr>
        <w:t>"In plain words"</w:t>
      </w:r>
      <w:r>
        <w:t xml:space="preserve"> sentence (e.g. "BUY NIFTY 22500 CE at 180 — book profit at 288, exit if it falls to 126") and top-3 reasons.</w:t>
      </w:r>
    </w:p>
    <w:p>
      <w:pPr>
        <w:pStyle w:val="ListBullet"/>
      </w:pPr>
      <w:r>
        <w:rPr>
          <w:b/>
        </w:rPr>
        <w:t>Metric cards</w:t>
      </w:r>
      <w:r>
        <w:t xml:space="preserve"> with meaning-rich subtitles: PCR ("↑ Bullish — put writing builds support"), Max Pain ("price gravitates here near expiry"), Expected Move (range till expiry), India VIX ("Low fear — option premiums cheap").</w:t>
      </w:r>
    </w:p>
    <w:p>
      <w:pPr>
        <w:pStyle w:val="ListBullet"/>
      </w:pPr>
      <w:r>
        <w:rPr>
          <w:b/>
        </w:rPr>
        <w:t>FII/DII + Advance/Decline</w:t>
      </w:r>
      <w:r>
        <w:t xml:space="preserve"> — currently simulated data (see roadmap §8).</w:t>
      </w:r>
    </w:p>
    <w:p>
      <w:pPr>
        <w:pStyle w:val="Heading3"/>
      </w:pPr>
      <w:r>
        <w:t>4.2 ⛓️ Option Chain</w:t>
      </w:r>
    </w:p>
    <w:p>
      <w:pPr/>
      <w:r>
        <w:t>Full chain with LTP/OI/OI-change/volume/bid-ask per strike, Black-Scholes Greeks enrichment, PCR (OI &amp; volume), Max Pain, OI-based support/resistance, CE-vs-PE OI bars, ATM highlight (★), expiry selector backed by real instrument expiries when logged in.</w:t>
      </w:r>
    </w:p>
    <w:p>
      <w:pPr>
        <w:pStyle w:val="Heading3"/>
      </w:pPr>
      <w:r>
        <w:t>4.3 📈 Technical</w:t>
      </w:r>
    </w:p>
    <w:p>
      <w:pPr/>
      <w:r>
        <w:t xml:space="preserve">Candlestick chart (LightweightCharts, theme-aware) with interval switching (1m–1D) and BUY/SELL markers from </w:t>
      </w:r>
      <w:r>
        <w:rPr>
          <w:rFonts w:ascii="Courier New" w:hAnsi="Courier New"/>
          <w:color w:val="C7254E"/>
          <w:sz w:val="18"/>
        </w:rPr>
        <w:t>/api/chart-signals</w:t>
      </w:r>
      <w:r>
        <w:t xml:space="preserve"> — multi-indicator confluence (EMA 9/21 cross, price vs EMA50, MACD histogram flip, RSI zones, Supertrend flip; emits when score ≥ 3).</w:t>
      </w:r>
    </w:p>
    <w:p>
      <w:pPr>
        <w:pStyle w:val="Heading3"/>
      </w:pPr>
      <w:r>
        <w:t>4.4 🎯 Signals</w:t>
      </w:r>
    </w:p>
    <w:p>
      <w:pPr/>
      <w:r>
        <w:t>Full technical + options analysis per index (</w:t>
      </w:r>
      <w:r>
        <w:rPr>
          <w:rFonts w:ascii="Courier New" w:hAnsi="Courier New"/>
          <w:color w:val="C7254E"/>
          <w:sz w:val="18"/>
        </w:rPr>
        <w:t>/api/analysis/{index}</w:t>
      </w:r>
      <w:r>
        <w:t>): trend, all indicators, options analytics, sentiment, generated trade signal and strategy suggestions.</w:t>
      </w:r>
    </w:p>
    <w:p>
      <w:pPr>
        <w:pStyle w:val="Heading3"/>
      </w:pPr>
      <w:r>
        <w:t>4.5 🗂️ OI History</w:t>
      </w:r>
    </w:p>
    <w:p>
      <w:pPr/>
      <w:r>
        <w:t>Daily end-of-day chain snapshots for the past month (synthetic series) — PCR/IV/max-pain drift per day; click a row for the full strike chain that day.</w:t>
      </w:r>
    </w:p>
    <w:p>
      <w:pPr>
        <w:pStyle w:val="Heading3"/>
      </w:pPr>
      <w:r>
        <w:t>4.6 💼 Positions — with brokerage-adjusted Net P&amp;L</w:t>
      </w:r>
    </w:p>
    <w:p>
      <w:pPr>
        <w:pStyle w:val="ListBullet"/>
      </w:pPr>
      <w:r>
        <w:t xml:space="preserve">Table columns: Symbol · Product · Qty · Avg · LTP · </w:t>
      </w:r>
      <w:r>
        <w:rPr>
          <w:b/>
        </w:rPr>
        <w:t>P&amp;L (gross)</w:t>
      </w:r>
      <w:r>
        <w:t xml:space="preserve"> · </w:t>
      </w:r>
      <w:r>
        <w:rPr>
          <w:b/>
        </w:rPr>
        <w:t>Charges (est)</w:t>
      </w:r>
      <w:r>
        <w:t xml:space="preserve"> · </w:t>
      </w:r>
      <w:r>
        <w:rPr>
          <w:b/>
        </w:rPr>
        <w:t>Net P&amp;L</w:t>
      </w:r>
      <w:r>
        <w:t xml:space="preserve"> · Day P&amp;L, plus a </w:t>
      </w:r>
      <w:r>
        <w:rPr>
          <w:b/>
        </w:rPr>
        <w:t>TOTAL row</w:t>
      </w:r>
      <w:r>
        <w:t xml:space="preserve"> and headline: *"Total Profit after charges: +₹718.95 (gross +₹835.75 − charges ₹116.80)"*.</w:t>
      </w:r>
    </w:p>
    <w:p>
      <w:pPr>
        <w:pStyle w:val="ListBullet"/>
      </w:pPr>
      <w:r>
        <w:rPr>
          <w:b/>
        </w:rPr>
        <w:t>Charge model</w:t>
      </w:r>
      <w:r>
        <w:t xml:space="preserve"> (</w:t>
      </w:r>
      <w:r>
        <w:rPr>
          <w:rFonts w:ascii="Courier New" w:hAnsi="Courier New"/>
          <w:color w:val="C7254E"/>
          <w:sz w:val="18"/>
        </w:rPr>
        <w:t>_estimate_fo_charges</w:t>
      </w:r>
      <w:r>
        <w:t>, full round trip; open positions assume exit at LTP):</w:t>
      </w:r>
    </w:p>
    <w:p>
      <w:pPr>
        <w:pStyle w:val="ListBullet"/>
      </w:pPr>
      <w:r>
        <w:t>Brokerage ₹20 × 2 executed orders</w:t>
      </w:r>
    </w:p>
    <w:p>
      <w:pPr>
        <w:pStyle w:val="ListBullet"/>
      </w:pPr>
      <w:r>
        <w:t>STT 0.1% of sell-side premium</w:t>
      </w:r>
    </w:p>
    <w:p>
      <w:pPr>
        <w:pStyle w:val="ListBullet"/>
      </w:pPr>
      <w:r>
        <w:t>Exchange transaction charge 0.03503% of premium turnover</w:t>
      </w:r>
    </w:p>
    <w:p>
      <w:pPr>
        <w:pStyle w:val="ListBullet"/>
      </w:pPr>
      <w:r>
        <w:t>GST 18% on (brokerage + txn + SEBI)</w:t>
      </w:r>
    </w:p>
    <w:p>
      <w:pPr>
        <w:pStyle w:val="ListBullet"/>
      </w:pPr>
      <w:r>
        <w:t>SEBI ₹10/crore · Stamp duty 0.003% of buy value</w:t>
      </w:r>
    </w:p>
    <w:p>
      <w:pPr>
        <w:pStyle w:val="ListBullet"/>
      </w:pPr>
      <w:r>
        <w:rPr>
          <w:b/>
        </w:rPr>
        <w:t>Position Analysis cards</w:t>
      </w:r>
      <w:r>
        <w:t xml:space="preserve"> — per option position: IV, Greeks, scenario P&amp;L table, sell recommendations.</w:t>
      </w:r>
    </w:p>
    <w:p>
      <w:pPr>
        <w:pStyle w:val="Heading3"/>
      </w:pPr>
      <w:r>
        <w:t>4.7 🤖 Algo — the main signal engine (</w:t>
      </w:r>
      <w:r>
        <w:rPr>
          <w:rFonts w:ascii="Courier New" w:hAnsi="Courier New"/>
          <w:color w:val="C7254E"/>
          <w:sz w:val="18"/>
        </w:rPr>
        <w:t>/api/algo-signals</w:t>
      </w:r>
      <w:r>
        <w:t>)</w:t>
      </w:r>
    </w:p>
    <w:p>
      <w:pPr/>
      <w:r>
        <w:t xml:space="preserve">Recomputed from </w:t>
      </w:r>
      <w:r>
        <w:rPr>
          <w:b/>
        </w:rPr>
        <w:t>live market data</w:t>
      </w:r>
      <w:r>
        <w:t xml:space="preserve"> on every call: spot from the live quote (matches the navbar), indicators from 15-minute candles, premiums from the live ATM chain.</w:t>
      </w:r>
    </w:p>
    <w:p>
      <w:pPr/>
      <w:r>
        <w:rPr>
          <w:b/>
        </w:rPr>
        <w:t>Scoring rules (11):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12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312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EMA 9 &gt; 21 &gt; 50 alignment (or inverse)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±2</w:t>
            </w:r>
          </w:p>
        </w:tc>
      </w:tr>
      <w:tr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1b</w:t>
            </w:r>
          </w:p>
        </w:tc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b/>
                <w:sz w:val="18"/>
              </w:rPr>
              <w:t>EMA 20/50 crossover</w:t>
            </w:r>
            <w:r>
              <w:rPr>
                <w:rFonts w:ascii="Calibri" w:hAnsi="Calibri"/>
                <w:sz w:val="18"/>
              </w:rPr>
              <w:t xml:space="preserve"> (within last 3 candles)</w:t>
            </w:r>
          </w:p>
        </w:tc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±2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1c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Close crosses Supertrend AND EMA20 on the same candle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±3</w:t>
            </w:r>
          </w:p>
        </w:tc>
      </w:tr>
      <w:tr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Price vs EMA200</w:t>
            </w:r>
          </w:p>
        </w:tc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±1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MACD above/below signal with histogram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±2</w:t>
            </w:r>
          </w:p>
        </w:tc>
      </w:tr>
      <w:tr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MACD histogram flip</w:t>
            </w:r>
          </w:p>
        </w:tc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±2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RSI zones (50–70 bullish / 30–50 bearish; extremes reverse)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±2 / ±1</w:t>
            </w:r>
          </w:p>
        </w:tc>
      </w:tr>
      <w:tr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Supertrend direction</w:t>
            </w:r>
          </w:p>
        </w:tc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±2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Bollinger position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±1</w:t>
            </w:r>
          </w:p>
        </w:tc>
      </w:tr>
      <w:tr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b/>
                <w:sz w:val="18"/>
              </w:rPr>
              <w:t>Opening Range Breakout</w:t>
            </w:r>
            <w:r>
              <w:rPr>
                <w:rFonts w:ascii="Calibri" w:hAnsi="Calibri"/>
                <w:sz w:val="18"/>
              </w:rPr>
              <w:t xml:space="preserve"> (break of 09:15–09:45 high/low)</w:t>
            </w:r>
          </w:p>
        </w:tc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±2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CPR position</w:t>
            </w:r>
            <w:r>
              <w:rPr>
                <w:rFonts w:ascii="Calibri" w:hAnsi="Calibri"/>
                <w:sz w:val="18"/>
              </w:rPr>
              <w:t xml:space="preserve"> (+ narrow-CPR trending-day flag)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±1</w:t>
            </w:r>
          </w:p>
        </w:tc>
      </w:tr>
      <w:tr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b/>
                <w:sz w:val="18"/>
              </w:rPr>
              <w:t>PDH/PDL</w:t>
            </w:r>
            <w:r>
              <w:rPr>
                <w:rFonts w:ascii="Calibri" w:hAnsi="Calibri"/>
                <w:sz w:val="18"/>
              </w:rPr>
              <w:t xml:space="preserve"> (trading above prev-day high / below low)</w:t>
            </w:r>
          </w:p>
        </w:tc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±1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Gap open</w:t>
            </w:r>
            <w:r>
              <w:rPr>
                <w:rFonts w:ascii="Calibri" w:hAnsi="Calibri"/>
                <w:sz w:val="18"/>
              </w:rPr>
              <w:t xml:space="preserve"> ≥ ±0.3%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±1</w:t>
            </w:r>
          </w:p>
        </w:tc>
      </w:tr>
      <w:tr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b/>
                <w:sz w:val="18"/>
              </w:rPr>
              <w:t>Intraday VWAP</w:t>
            </w:r>
            <w:r>
              <w:rPr>
                <w:rFonts w:ascii="Calibri" w:hAnsi="Calibri"/>
                <w:sz w:val="18"/>
              </w:rPr>
              <w:t xml:space="preserve"> (price above/below day VWAP)</w:t>
            </w:r>
          </w:p>
        </w:tc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±1</w:t>
            </w:r>
          </w:p>
        </w:tc>
      </w:tr>
    </w:tbl>
    <w:p/>
    <w:p>
      <w:pPr/>
      <w:r>
        <w:rPr>
          <w:b/>
        </w:rPr>
        <w:t>Decision:</w:t>
      </w:r>
      <w:r>
        <w:t xml:space="preserve"> buy score ≥ 10 (and &gt; sell+2) → STRONG BUY; sell ≥ 10 → STRONG SELL; otherwise MILD by majority; tie → NEUTRAL.</w:t>
      </w:r>
    </w:p>
    <w:p>
      <w:pPr/>
      <w:r>
        <w:rPr>
          <w:b/>
        </w:rPr>
        <w:t>Theta-decay clock:</w:t>
      </w:r>
      <w:r>
        <w:t xml:space="preserve"> a buy-timing filter shown as an OK / CAUTION / AVOID / CLOSED banner based on IST time and expiry proximity — OK before 14:30, CAUTION after 14:30 or on expiry day, AVOID in the last hour or late on expiry day, CLOSED on weekends/after hours. Tells option *buyers* when theta makes fresh entries unwise.</w:t>
      </w:r>
    </w:p>
    <w:p>
      <w:pPr/>
      <w:r>
        <w:rPr>
          <w:b/>
        </w:rPr>
        <w:t>Trailing stop-loss ladder:</w:t>
      </w:r>
      <w:r>
        <w:t xml:space="preserve"> each leg carries a 3-step trail — at +20% move SL to cost (risk-free), at +40% trail to +20%, at +60% trail to +35% and ride the rest.</w:t>
      </w:r>
    </w:p>
    <w:p>
      <w:pPr/>
      <w:r>
        <w:rPr>
          <w:b/>
        </w:rPr>
        <w:t>Position-sizing calculator:</w:t>
      </w:r>
      <w:r>
        <w:t xml:space="preserve"> a panel at the top of the Algo tab — enter capital, risk % per trade, entry premium, stop-loss, lot size → outputs lots to buy, capital needed, actual ₹ risk (and % of capital), and risk per lot. Formula: </w:t>
      </w:r>
      <w:r>
        <w:rPr>
          <w:rFonts w:ascii="Courier New" w:hAnsi="Courier New"/>
          <w:color w:val="C7254E"/>
          <w:sz w:val="18"/>
        </w:rPr>
        <w:t>lots = floor((capital × risk%) ÷ ((entry − SL) × lot_size))</w:t>
      </w:r>
      <w:r>
        <w:t xml:space="preserve">. Each trade card has a </w:t>
      </w:r>
      <w:r>
        <w:rPr>
          <w:b/>
        </w:rPr>
        <w:t>🧮 Size it</w:t>
      </w:r>
      <w:r>
        <w:t xml:space="preserve"> button that pre-fills the calculator from that trade.</w:t>
      </w:r>
    </w:p>
    <w:p>
      <w:pPr/>
      <w:r>
        <w:rPr>
          <w:b/>
        </w:rPr>
        <w:t>Recommendation — option BUYING only (no short/futures-style legs):</w:t>
      </w:r>
    </w:p>
    <w:p>
      <w:pPr>
        <w:pStyle w:val="ListBullet"/>
      </w:pPr>
      <w:r>
        <w:t xml:space="preserve">STRONG BUY → single </w:t>
      </w:r>
      <w:r>
        <w:rPr>
          <w:b/>
        </w:rPr>
        <w:t>BUY ATM CE</w:t>
      </w:r>
      <w:r>
        <w:t xml:space="preserve"> card · target +60% / SL −30% (R:R exactly 1:2)</w:t>
      </w:r>
    </w:p>
    <w:p>
      <w:pPr>
        <w:pStyle w:val="ListBullet"/>
      </w:pPr>
      <w:r>
        <w:t xml:space="preserve">STRONG SELL → single </w:t>
      </w:r>
      <w:r>
        <w:rPr>
          <w:b/>
        </w:rPr>
        <w:t>BUY ATM PE</w:t>
      </w:r>
      <w:r>
        <w:t xml:space="preserve"> card · same R:R</w:t>
      </w:r>
    </w:p>
    <w:p>
      <w:pPr>
        <w:pStyle w:val="ListBullet"/>
      </w:pPr>
      <w:r>
        <w:t>MILD → target +40% / SL −20% (also 1:2)</w:t>
      </w:r>
    </w:p>
    <w:p>
      <w:pPr>
        <w:pStyle w:val="ListBullet"/>
      </w:pPr>
      <w:r>
        <w:t>NEUTRAL → no trade card, "wait" notice</w:t>
      </w:r>
    </w:p>
    <w:p>
      <w:pPr/>
      <w:r>
        <w:rPr>
          <w:b/>
        </w:rPr>
        <w:t>Locked trade plan:</w:t>
      </w:r>
      <w:r>
        <w:t xml:space="preserve"> when a signal fires, the server records the time and premium (</w:t>
      </w:r>
      <w:r>
        <w:rPr>
          <w:rFonts w:ascii="Courier New" w:hAnsi="Courier New"/>
          <w:color w:val="C7254E"/>
          <w:sz w:val="18"/>
        </w:rPr>
        <w:t>_algo_signal_state</w:t>
      </w:r>
      <w:r>
        <w:t xml:space="preserve">). The card shows: *⏱ Signal active since HH:MM:SS · Buy Price (at signal) · Premium Now (green = cheaper than plan) · Sell Target · Stop Loss*, and a plan sentence ending with the </w:t>
      </w:r>
      <w:r>
        <w:rPr>
          <w:b/>
        </w:rPr>
        <w:t>sell time rule: exit at target/SL or square off by 15:15 IST</w:t>
      </w:r>
      <w:r>
        <w:t>. The plan re-locks only when the signal/strike/expiry changes.</w:t>
      </w:r>
    </w:p>
    <w:p>
      <w:pPr/>
      <w:r>
        <w:rPr>
          <w:b/>
        </w:rPr>
        <w:t>Display:</w:t>
      </w:r>
      <w:r>
        <w:t xml:space="preserve"> indicator chips (RSI, ATR, EMA 20/50 state, ST+EMA20 cross, scores, confidence), </w:t>
      </w:r>
      <w:r>
        <w:rPr>
          <w:b/>
        </w:rPr>
        <w:t>Key Levels strip</w:t>
      </w:r>
      <w:r>
        <w:t xml:space="preserve"> (ORB range with ▲/▼, CPR ± NARROW, VWAP ▲/▼, Pivot, R1/S1, PDH/PDL, Gap %), </w:t>
      </w:r>
      <w:r>
        <w:rPr>
          <w:b/>
        </w:rPr>
        <w:t>theta-clock banner</w:t>
      </w:r>
      <w:r>
        <w:t xml:space="preserve">, bull/bear score bar, signal factors list. Each trade card adds the </w:t>
      </w:r>
      <w:r>
        <w:rPr>
          <w:b/>
        </w:rPr>
        <w:t>trailing stop-loss ladder</w:t>
      </w:r>
      <w:r>
        <w:t xml:space="preserve">. </w:t>
      </w:r>
      <w:r>
        <w:rPr>
          <w:b/>
        </w:rPr>
        <w:t>Auto-refreshes every 30 s</w:t>
      </w:r>
      <w:r>
        <w:t xml:space="preserve"> (pausable), shows "Updated HH:MM:SS", fires a toast + banner when a market move flips the signal, and preserves card collapse state across refreshes.</w:t>
      </w:r>
    </w:p>
    <w:p>
      <w:pPr>
        <w:pStyle w:val="Heading3"/>
      </w:pPr>
      <w:r>
        <w:t>4.8 🔬 Advanced</w:t>
      </w:r>
    </w:p>
    <w:p>
      <w:pPr/>
      <w:r>
        <w:t>GEX (gamma exposure by strike), OI heatmap, IV surface, Multi-Timeframe alignment (5m/15m/1h/D), Strategy payoff builder, 30-day algo backtest, Economic calendar.</w:t>
      </w:r>
    </w:p>
    <w:p>
      <w:pPr>
        <w:pStyle w:val="Heading3"/>
      </w:pPr>
      <w:r>
        <w:t>4.9 🧠 Smart OI</w:t>
      </w:r>
    </w:p>
    <w:p>
      <w:pPr>
        <w:pStyle w:val="ListBullet"/>
      </w:pPr>
      <w:r>
        <w:rPr>
          <w:b/>
        </w:rPr>
        <w:t>Left panel:</w:t>
      </w:r>
      <w:r>
        <w:t xml:space="preserve"> price </w:t>
      </w:r>
      <w:r>
        <w:rPr>
          <w:b/>
        </w:rPr>
        <w:t>line chart</w:t>
      </w:r>
      <w:r>
        <w:t xml:space="preserve"> (area, upper ~70%) + </w:t>
      </w:r>
      <w:r>
        <w:rPr>
          <w:b/>
        </w:rPr>
        <w:t>volume bars</w:t>
      </w:r>
      <w:r>
        <w:t xml:space="preserve"> (bottom ~25%) in one chart.</w:t>
      </w:r>
    </w:p>
    <w:p>
      <w:pPr>
        <w:pStyle w:val="ListBullet"/>
      </w:pPr>
      <w:r>
        <w:rPr>
          <w:b/>
        </w:rPr>
        <w:t>Right panels:</w:t>
      </w:r>
      <w:r>
        <w:t xml:space="preserve"> CE/PE/Net OI time-series + PCR time-series (Chart.js).</w:t>
      </w:r>
    </w:p>
    <w:p>
      <w:pPr>
        <w:pStyle w:val="ListBullet"/>
      </w:pPr>
      <w:r>
        <w:rPr>
          <w:b/>
        </w:rPr>
        <w:t>Crosshair sync:</w:t>
      </w:r>
      <w:r>
        <w:t xml:space="preserve"> hovering the price chart highlights the same time point on the OI and PCR charts with tooltips.</w:t>
      </w:r>
    </w:p>
    <w:p>
      <w:pPr>
        <w:pStyle w:val="ListBullet"/>
      </w:pPr>
      <w:r>
        <w:t xml:space="preserve">Index/expiry/interval/live-historical controls; strike-wise CE-PE ratio interpretation (RESISTANCE / SUPPORT / CALL WRITING / PUT WRITING / BOTH ADDING / UNWINDING) via </w:t>
      </w:r>
      <w:r>
        <w:rPr>
          <w:rFonts w:ascii="Courier New" w:hAnsi="Courier New"/>
          <w:color w:val="C7254E"/>
          <w:sz w:val="18"/>
        </w:rPr>
        <w:t>/api/smart-oi</w:t>
      </w:r>
      <w:r>
        <w:t>.</w:t>
      </w:r>
    </w:p>
    <w:p>
      <w:pPr>
        <w:pStyle w:val="Heading3"/>
      </w:pPr>
      <w:r>
        <w:t>4.10 🏆 Stock F&amp;O Picks (</w:t>
      </w:r>
      <w:r>
        <w:rPr>
          <w:rFonts w:ascii="Courier New" w:hAnsi="Courier New"/>
          <w:color w:val="C7254E"/>
          <w:sz w:val="18"/>
        </w:rPr>
        <w:t>/api/stock-fo-picks</w:t>
      </w:r>
      <w:r>
        <w:t>)</w:t>
      </w:r>
    </w:p>
    <w:p>
      <w:pPr/>
      <w:r>
        <w:rPr>
          <w:b/>
        </w:rPr>
        <w:t>10 stocks:</w:t>
      </w:r>
      <w:r>
        <w:t xml:space="preserve"> RELIANCE, HDFCBANK, ICICIBANK, INFY, TCS, SBIN, BHARTIARTL, AXISBANK, KOTAKBANK, LT. Live mode pulls real futures contracts (lot size, OI), the near-expiry option chain around ATM, daily futures candles for technicals, and the day VWAP; deterministic per-day mock otherwise.</w:t>
      </w:r>
    </w:p>
    <w:p>
      <w:pPr/>
      <w:r>
        <w:rPr>
          <w:b/>
        </w:rPr>
        <w:t>Scored market rules:</w:t>
      </w:r>
      <w:r>
        <w:t xml:space="preserve"> EMA trend ±2 · EMA 20/50 crossover ±2 · Supertrend+EMA20 same-candle cross ±2 · RSI ≥60/≤40 ±1 · futures OI buildup (Long/Short Buildup ±2, Covering/Unwinding ±1) · PCR &gt;1.2/&lt;0.8 ±1 · futures basis ±1 (&gt;0.2%) · day momentum ±1 (&gt;±0.75%) · S&amp;R breakout on ≥1.2× volume ±2 · option delta ≥0.60/≤−0.60 ±1 · VWAP quick formula ±2.</w:t>
      </w:r>
    </w:p>
    <w:p>
      <w:pPr/>
      <w:r>
        <w:rPr>
          <w:b/>
        </w:rPr>
        <w:t>7 strategy methods displayed per card:</w:t>
      </w:r>
    </w:p>
    <w:p>
      <w:pPr>
        <w:pStyle w:val="ListBullet"/>
      </w:pPr>
      <w:r>
        <w:rPr>
          <w:b/>
        </w:rPr>
        <w:t>Moving Average</w:t>
      </w:r>
      <w:r>
        <w:t xml:space="preserve"> — price vs EMA20 &amp; EMA50</w:t>
      </w:r>
    </w:p>
    <w:p>
      <w:pPr>
        <w:pStyle w:val="ListBullet"/>
      </w:pPr>
      <w:r>
        <w:rPr>
          <w:b/>
        </w:rPr>
        <w:t>EMA 20/50 Crossover</w:t>
      </w:r>
      <w:r>
        <w:t xml:space="preserve"> — cross above → Buy CE / below → Buy PE</w:t>
      </w:r>
    </w:p>
    <w:p>
      <w:pPr>
        <w:pStyle w:val="ListBullet"/>
      </w:pPr>
      <w:r>
        <w:rPr>
          <w:b/>
        </w:rPr>
        <w:t>Supertrend + EMA20 Cross</w:t>
      </w:r>
      <w:r>
        <w:t xml:space="preserve"> — close crossing both on one candle</w:t>
      </w:r>
    </w:p>
    <w:p>
      <w:pPr>
        <w:pStyle w:val="ListBullet"/>
      </w:pPr>
      <w:r>
        <w:rPr>
          <w:b/>
        </w:rPr>
        <w:t>S&amp;R Breakout + Volume</w:t>
      </w:r>
      <w:r>
        <w:t xml:space="preserve"> — OI-derived S/R broken on ≥1.2× avg volume</w:t>
      </w:r>
    </w:p>
    <w:p>
      <w:pPr>
        <w:pStyle w:val="ListBullet"/>
      </w:pPr>
      <w:r>
        <w:rPr>
          <w:b/>
        </w:rPr>
        <w:t>Risk-Reward ≥ 1:2</w:t>
      </w:r>
      <w:r>
        <w:t xml:space="preserve"> — Risk = Entry−SL, Reward = Target−Entry; trade only if Reward÷Risk ≥ 2 (target +60% / SL −30% ⇒ exactly 1:2; failing trades downgraded to WAIT)</w:t>
      </w:r>
    </w:p>
    <w:p>
      <w:pPr>
        <w:pStyle w:val="ListBullet"/>
      </w:pPr>
      <w:r>
        <w:rPr>
          <w:b/>
        </w:rPr>
        <w:t>Option Delta</w:t>
      </w:r>
      <w:r>
        <w:t xml:space="preserve"> — Black-Scholes Δ (≈0.50 = ATM; ≥0.60 stronger CE; ≤−0.60 stronger PE)</w:t>
      </w:r>
    </w:p>
    <w:p>
      <w:pPr>
        <w:pStyle w:val="ListBullet"/>
      </w:pPr>
      <w:r>
        <w:rPr>
          <w:b/>
        </w:rPr>
        <w:t>VWAP Quick Formula</w:t>
      </w:r>
      <w:r>
        <w:t xml:space="preserve"> — price &gt; VWAP + RSI &gt; 60 + volume rising → Buy CE (inverse → Buy PE)</w:t>
      </w:r>
    </w:p>
    <w:p>
      <w:pPr/>
      <w:r>
        <w:rPr>
          <w:b/>
        </w:rPr>
        <w:t>Decision:</w:t>
      </w:r>
      <w:r>
        <w:t xml:space="preserve"> score ≥ +3 BUY CE (≥ +6 HIGH) · ≤ −3 BUY PE (≤ −6 HIGH) · else WAIT.</w:t>
      </w:r>
    </w:p>
    <w:p>
      <w:pPr/>
      <w:r>
        <w:rPr>
          <w:b/>
        </w:rPr>
        <w:t>Trade block:</w:t>
      </w:r>
      <w:r>
        <w:t xml:space="preserve"> contract, entry/target/SL, risk/reward ₹, R:R badge, spot target (OI resistance for CE / support for PE), lot size, 1-lot cost, </w:t>
      </w:r>
      <w:r>
        <w:rPr>
          <w:b/>
        </w:rPr>
        <w:t>⏱ buy-signal-since time with the locked premium and "exit by 15:15 IST"</w:t>
      </w:r>
      <w:r>
        <w:t>, and the fired reasons.</w:t>
      </w:r>
    </w:p>
    <w:p>
      <w:pPr/>
      <w:r>
        <w:rPr>
          <w:b/>
        </w:rPr>
        <w:t>UI:</w:t>
      </w:r>
      <w:r>
        <w:t xml:space="preserve"> cards sorted by conviction, futures/RSI/PCR/S-R stats, per-card collapse (▾/▸) + Collapse-all/Expand-all, summary strip (e.g. "6 BUY CE · 3 BUY PE · 1 WAIT"), MOCK DATA badge when not authenticated, rules legend.</w:t>
      </w:r>
    </w:p>
    <w:p>
      <w:pPr>
        <w:pStyle w:val="Heading3"/>
      </w:pPr>
      <w:r>
        <w:t>4.11 ⏰ Time Slots (</w:t>
      </w:r>
      <w:r>
        <w:rPr>
          <w:rFonts w:ascii="Courier New" w:hAnsi="Courier New"/>
          <w:color w:val="C7254E"/>
          <w:sz w:val="18"/>
        </w:rPr>
        <w:t>/api/time-span-picks</w:t>
      </w:r>
      <w:r>
        <w:t>)</w:t>
      </w:r>
    </w:p>
    <w:p>
      <w:pPr/>
      <w:r>
        <w:t>CE/PE recommendation for NIFTY &amp; SENSEX per intraday session: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312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Window</w:t>
            </w:r>
          </w:p>
        </w:tc>
        <w:tc>
          <w:tcPr>
            <w:tcW w:type="dxa" w:w="312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Sell by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Morning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09:15 – 11:45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11:45</w:t>
            </w:r>
          </w:p>
        </w:tc>
      </w:tr>
      <w:tr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Midday</w:t>
            </w:r>
          </w:p>
        </w:tc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11:45 – 14:00</w:t>
            </w:r>
          </w:p>
        </w:tc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14:00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Afternoon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14:00 – 15:30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15:30</w:t>
            </w:r>
          </w:p>
        </w:tc>
      </w:tr>
    </w:tbl>
    <w:p/>
    <w:p>
      <w:pPr/>
      <w:r>
        <w:t xml:space="preserve">Per session score = </w:t>
      </w:r>
      <w:r>
        <w:rPr>
          <w:b/>
        </w:rPr>
        <w:t>today's move inside that window</w:t>
      </w:r>
      <w:r>
        <w:t xml:space="preserve"> (±2 if &gt; ±0.05%) + </w:t>
      </w:r>
      <w:r>
        <w:rPr>
          <w:b/>
        </w:rPr>
        <w:t>the same window's direction over the last ~10 trading days</w:t>
      </w:r>
      <w:r>
        <w:t xml:space="preserve"> (±1 if ≥60% one-sided). Score ≥ +1 → BUY CE · ≤ −1 → BUY PE · else WAIT. Rows show status (● LIVE NOW highlighted / UPCOMING / DONE), ATM option, buy premium, target +40% / SL −20% (1:2), the sell-by time, and the reasoning (e.g. "fell 7/10 recent days in this window").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2"/>
      </w:pPr>
      <w:r>
        <w:t>5. Formula Reference</w:t>
      </w:r>
    </w:p>
    <w:p>
      <w:pPr>
        <w:pStyle w:val="Heading3"/>
      </w:pPr>
      <w:r>
        <w:t>5.1 Indicators</w:t>
      </w:r>
    </w:p>
    <w:p>
      <w:pPr>
        <w:pStyle w:val="ListBullet"/>
      </w:pPr>
      <w:r>
        <w:rPr>
          <w:b/>
        </w:rPr>
        <w:t>EMA(n):</w:t>
      </w:r>
      <w:r>
        <w:t xml:space="preserve"> standard exponential, </w:t>
      </w:r>
      <w:r>
        <w:rPr>
          <w:rFonts w:ascii="Courier New" w:hAnsi="Courier New"/>
          <w:color w:val="C7254E"/>
          <w:sz w:val="18"/>
        </w:rPr>
        <w:t>span=n</w:t>
      </w:r>
      <w:r>
        <w:t xml:space="preserve">. </w:t>
      </w:r>
      <w:r>
        <w:rPr>
          <w:b/>
        </w:rPr>
        <w:t>RSI(14):</w:t>
      </w:r>
      <w:r>
        <w:t xml:space="preserve"> Wilder. </w:t>
      </w:r>
      <w:r>
        <w:rPr>
          <w:b/>
        </w:rPr>
        <w:t>MACD:</w:t>
      </w:r>
      <w:r>
        <w:t xml:space="preserve"> 12/26/9. </w:t>
      </w:r>
      <w:r>
        <w:rPr>
          <w:b/>
        </w:rPr>
        <w:t>Bollinger:</w:t>
      </w:r>
      <w:r>
        <w:t xml:space="preserve"> 20-period, ±2σ. </w:t>
      </w:r>
      <w:r>
        <w:rPr>
          <w:b/>
        </w:rPr>
        <w:t>ATR(14)</w:t>
      </w:r>
      <w:r>
        <w:t xml:space="preserve">. </w:t>
      </w:r>
      <w:r>
        <w:rPr>
          <w:b/>
        </w:rPr>
        <w:t>Supertrend:</w:t>
      </w:r>
      <w:r>
        <w:t xml:space="preserve"> period 10, multiplier 3 (band + direction). </w:t>
      </w:r>
      <w:r>
        <w:rPr>
          <w:b/>
        </w:rPr>
        <w:t>Stochastic, VWAP, classic Pivots</w:t>
      </w:r>
      <w:r>
        <w:t xml:space="preserve"> also implemented in </w:t>
      </w:r>
      <w:r>
        <w:rPr>
          <w:rFonts w:ascii="Courier New" w:hAnsi="Courier New"/>
          <w:color w:val="C7254E"/>
          <w:sz w:val="18"/>
        </w:rPr>
        <w:t>technical.py</w:t>
      </w:r>
      <w:r>
        <w:t>.</w:t>
      </w:r>
    </w:p>
    <w:p>
      <w:pPr>
        <w:pStyle w:val="Heading3"/>
      </w:pPr>
      <w:r>
        <w:t>5.2 CPR / Pivots (from previous day H/L/C)</w:t>
      </w:r>
    </w:p>
    <w:p>
      <w:pPr/>
      <w:r>
        <w:rPr>
          <w:rFonts w:ascii="Courier New" w:hAnsi="Courier New"/>
          <w:color w:val="C7254E"/>
          <w:sz w:val="18"/>
        </w:rPr>
        <w:t>Pivot=(H+L+C)/3 · BC=(H+L)/2 · TC=2·Pivot−BC · R1=2P−L · S1=2P−H · R2=P+(H−L) · S2=P−(H−L)</w:t>
      </w:r>
    </w:p>
    <w:p>
      <w:pPr/>
      <w:r>
        <w:t>Narrow CPR = width &lt; 0.25% of prev close → trending-day flag.</w:t>
      </w:r>
    </w:p>
    <w:p>
      <w:pPr>
        <w:pStyle w:val="Heading3"/>
      </w:pPr>
      <w:r>
        <w:t>5.3 Options</w:t>
      </w:r>
    </w:p>
    <w:p>
      <w:pPr>
        <w:pStyle w:val="ListBullet"/>
      </w:pPr>
      <w:r>
        <w:rPr>
          <w:b/>
        </w:rPr>
        <w:t>Greeks:</w:t>
      </w:r>
      <w:r>
        <w:t xml:space="preserve"> Black-Scholes (Δ Γ Θ V ρ), risk-free 6.5%.</w:t>
      </w:r>
    </w:p>
    <w:p>
      <w:pPr>
        <w:pStyle w:val="ListBullet"/>
      </w:pPr>
      <w:r>
        <w:rPr>
          <w:b/>
        </w:rPr>
        <w:t>PCR:</w:t>
      </w:r>
      <w:r>
        <w:t xml:space="preserve"> ΣPE OI ÷ ΣCE OI (and volume variant).</w:t>
      </w:r>
    </w:p>
    <w:p>
      <w:pPr>
        <w:pStyle w:val="ListBullet"/>
      </w:pPr>
      <w:r>
        <w:rPr>
          <w:b/>
        </w:rPr>
        <w:t>Max Pain:</w:t>
      </w:r>
      <w:r>
        <w:t xml:space="preserve"> strike minimizing total writer payout.</w:t>
      </w:r>
    </w:p>
    <w:p>
      <w:pPr>
        <w:pStyle w:val="ListBullet"/>
      </w:pPr>
      <w:r>
        <w:rPr>
          <w:b/>
        </w:rPr>
        <w:t>Expected move:</w:t>
      </w:r>
      <w:r>
        <w:t xml:space="preserve"> </w:t>
      </w:r>
      <w:r>
        <w:rPr>
          <w:rFonts w:ascii="Courier New" w:hAnsi="Courier New"/>
          <w:color w:val="C7254E"/>
          <w:sz w:val="18"/>
        </w:rPr>
        <w:t>spot × IV × √(DTE/365)</w:t>
      </w:r>
      <w:r>
        <w:t>.</w:t>
      </w:r>
    </w:p>
    <w:p>
      <w:pPr>
        <w:pStyle w:val="ListBullet"/>
      </w:pPr>
      <w:r>
        <w:rPr>
          <w:b/>
        </w:rPr>
        <w:t>IV:</w:t>
      </w:r>
      <w:r>
        <w:t xml:space="preserve"> Newton-Raphson implied vol from premium.</w:t>
      </w:r>
    </w:p>
    <w:p>
      <w:pPr>
        <w:pStyle w:val="Heading3"/>
      </w:pPr>
      <w:r>
        <w:t>5.4 Futures buildup matrix</w:t>
      </w:r>
    </w:p>
    <w:p>
      <w:pPr/>
      <w:r>
        <w:t>Price ≥ +0.1% &amp; OI ≥ +1% → LONG BUILDUP · price ≤ −0.1% &amp; OI up → SHORT BUILDUP · price up &amp; OI ≤ −1% → SHORT COVERING · both down → LONG UNWINDING.</w:t>
      </w:r>
    </w:p>
    <w:p>
      <w:pPr>
        <w:pStyle w:val="Heading3"/>
      </w:pPr>
      <w:r>
        <w:t>5.5 Charges (per round trip)</w:t>
      </w:r>
    </w:p>
    <w:p>
      <w:pPr/>
      <w:r>
        <w:rPr>
          <w:rFonts w:ascii="Courier New" w:hAnsi="Courier New"/>
          <w:color w:val="C7254E"/>
          <w:sz w:val="18"/>
        </w:rPr>
        <w:t>₹40 brokerage + 0.1%·sell_value (STT) + 0.03503%·turnover (exchange) + 18% GST on (brokerage+txn+SEBI) + ₹10/cr SEBI + 0.003%·buy_value (stamp)</w:t>
      </w:r>
    </w:p>
    <w:p>
      <w:pPr>
        <w:pStyle w:val="Heading3"/>
      </w:pPr>
      <w:r>
        <w:t>5.6 Composite sentiment</w:t>
      </w:r>
    </w:p>
    <w:p>
      <w:pPr/>
      <w:r>
        <w:t xml:space="preserve">PCR (±2 at &gt;1.3/&lt;0.7) + VIX (+1 &lt;13 … −2 &gt;22) + A/D ratio (±2) + FII net (±2 at ±2000 Cr) + trend ±0.5 (accepts BULLISH/UPTREND vocabularies). Gauge needle = </w:t>
      </w:r>
      <w:r>
        <w:rPr>
          <w:rFonts w:ascii="Courier New" w:hAnsi="Courier New"/>
          <w:color w:val="C7254E"/>
          <w:sz w:val="18"/>
        </w:rPr>
        <w:t>50 + normalized×0.45</w:t>
      </w:r>
      <w:r>
        <w:t xml:space="preserve"> (continuous, clamped 5–95). Labels symmetric: ≥+4 STRONGLY_BULLISH · ≥+1.5 BULLISH · ±1.5 NEUTRAL · ≤−1.5 BEARISH · ≤−4 STRONGLY_BEARISH. </w:t>
      </w:r>
      <w:r>
        <w:rPr>
          <w:b/>
        </w:rPr>
        <w:t>PCR comes from the actual option chain</w:t>
      </w:r>
      <w:r>
        <w:t xml:space="preserve"> (not random).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2"/>
      </w:pPr>
      <w:r>
        <w:t>6. API Endpoint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46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color w:val="C7254E"/>
                <w:sz w:val="18"/>
              </w:rPr>
              <w:t>GET /health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alibri" w:hAnsi="Calibri"/>
                <w:color w:val="C7254E"/>
                <w:sz w:val="18"/>
              </w:rPr>
              <w:t>GET /api/config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Liveness, runtime config</w:t>
            </w:r>
          </w:p>
        </w:tc>
      </w:tr>
      <w:tr>
        <w:tc>
          <w:tcPr>
            <w:tcW w:type="dxa" w:w="4680"/>
            <w:shd w:val="clear" w:color="auto" w:fill="EEF3FA"/>
          </w:tcPr>
          <w:p>
            <w:r>
              <w:rPr>
                <w:rFonts w:ascii="Calibri" w:hAnsi="Calibri"/>
                <w:color w:val="C7254E"/>
                <w:sz w:val="18"/>
              </w:rPr>
              <w:t>GET /api/auth/login</w:t>
            </w:r>
            <w:r>
              <w:rPr>
                <w:rFonts w:ascii="Calibri" w:hAnsi="Calibri"/>
                <w:sz w:val="18"/>
              </w:rPr>
              <w:t xml:space="preserve"> / </w:t>
            </w:r>
            <w:r>
              <w:rPr>
                <w:rFonts w:ascii="Calibri" w:hAnsi="Calibri"/>
                <w:color w:val="C7254E"/>
                <w:sz w:val="18"/>
              </w:rPr>
              <w:t>callback</w:t>
            </w:r>
            <w:r>
              <w:rPr>
                <w:rFonts w:ascii="Calibri" w:hAnsi="Calibri"/>
                <w:sz w:val="18"/>
              </w:rPr>
              <w:t xml:space="preserve"> / </w:t>
            </w:r>
            <w:r>
              <w:rPr>
                <w:rFonts w:ascii="Calibri" w:hAnsi="Calibri"/>
                <w:color w:val="C7254E"/>
                <w:sz w:val="18"/>
              </w:rPr>
              <w:t>status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alibri" w:hAnsi="Calibri"/>
                <w:color w:val="C7254E"/>
                <w:sz w:val="18"/>
              </w:rPr>
              <w:t>POST /api/auth/logout</w:t>
            </w:r>
          </w:p>
        </w:tc>
        <w:tc>
          <w:tcPr>
            <w:tcW w:type="dxa" w:w="468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Zerodha session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color w:val="C7254E"/>
                <w:sz w:val="18"/>
              </w:rPr>
              <w:t>GET /api/market/quote/{index}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Live/mock quote</w:t>
            </w:r>
          </w:p>
        </w:tc>
      </w:tr>
      <w:tr>
        <w:tc>
          <w:tcPr>
            <w:tcW w:type="dxa" w:w="4680"/>
            <w:shd w:val="clear" w:color="auto" w:fill="EEF3FA"/>
          </w:tcPr>
          <w:p>
            <w:r>
              <w:rPr>
                <w:rFonts w:ascii="Calibri" w:hAnsi="Calibri"/>
                <w:color w:val="C7254E"/>
                <w:sz w:val="18"/>
              </w:rPr>
              <w:t>GET /api/historical/{index}</w:t>
            </w:r>
          </w:p>
        </w:tc>
        <w:tc>
          <w:tcPr>
            <w:tcW w:type="dxa" w:w="468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OHLCV candles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color w:val="C7254E"/>
                <w:sz w:val="18"/>
              </w:rPr>
              <w:t>GET /api/chart-signals/{index}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Chart BUY/SELL markers</w:t>
            </w:r>
          </w:p>
        </w:tc>
      </w:tr>
      <w:tr>
        <w:tc>
          <w:tcPr>
            <w:tcW w:type="dxa" w:w="4680"/>
            <w:shd w:val="clear" w:color="auto" w:fill="EEF3FA"/>
          </w:tcPr>
          <w:p>
            <w:r>
              <w:rPr>
                <w:rFonts w:ascii="Calibri" w:hAnsi="Calibri"/>
                <w:color w:val="C7254E"/>
                <w:sz w:val="18"/>
              </w:rPr>
              <w:t>GET /api/analysis/{index}</w:t>
            </w:r>
          </w:p>
        </w:tc>
        <w:tc>
          <w:tcPr>
            <w:tcW w:type="dxa" w:w="468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Full technical + options analysis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color w:val="C7254E"/>
                <w:sz w:val="18"/>
              </w:rPr>
              <w:t>GET /api/expiry-list/{index}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Real expiries from instruments</w:t>
            </w:r>
          </w:p>
        </w:tc>
      </w:tr>
      <w:tr>
        <w:tc>
          <w:tcPr>
            <w:tcW w:type="dxa" w:w="4680"/>
            <w:shd w:val="clear" w:color="auto" w:fill="EEF3FA"/>
          </w:tcPr>
          <w:p>
            <w:r>
              <w:rPr>
                <w:rFonts w:ascii="Calibri" w:hAnsi="Calibri"/>
                <w:color w:val="C7254E"/>
                <w:sz w:val="18"/>
              </w:rPr>
              <w:t>GET /api/option-chain/{index}</w:t>
            </w:r>
            <w:r>
              <w:rPr>
                <w:rFonts w:ascii="Calibri" w:hAnsi="Calibri"/>
                <w:sz w:val="18"/>
              </w:rPr>
              <w:t xml:space="preserve"> (+history)</w:t>
            </w:r>
          </w:p>
        </w:tc>
        <w:tc>
          <w:tcPr>
            <w:tcW w:type="dxa" w:w="468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Chain with Greeks/analytics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color w:val="C7254E"/>
                <w:sz w:val="18"/>
              </w:rPr>
              <w:t>GET /api/positions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 xml:space="preserve">Positions + </w:t>
            </w:r>
            <w:r>
              <w:rPr>
                <w:rFonts w:ascii="Calibri" w:hAnsi="Calibri"/>
                <w:b/>
                <w:sz w:val="18"/>
              </w:rPr>
              <w:t>charges &amp; net P&amp;L summary</w:t>
            </w:r>
          </w:p>
        </w:tc>
      </w:tr>
      <w:tr>
        <w:tc>
          <w:tcPr>
            <w:tcW w:type="dxa" w:w="4680"/>
            <w:shd w:val="clear" w:color="auto" w:fill="EEF3FA"/>
          </w:tcPr>
          <w:p>
            <w:r>
              <w:rPr>
                <w:rFonts w:ascii="Calibri" w:hAnsi="Calibri"/>
                <w:color w:val="C7254E"/>
                <w:sz w:val="18"/>
              </w:rPr>
              <w:t>GET /api/position-analysis</w:t>
            </w:r>
          </w:p>
        </w:tc>
        <w:tc>
          <w:tcPr>
            <w:tcW w:type="dxa" w:w="468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Greeks/scenarios per position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color w:val="C7254E"/>
                <w:sz w:val="18"/>
              </w:rPr>
              <w:t>POST /api/order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Place order (confirm modal in UI)</w:t>
            </w:r>
          </w:p>
        </w:tc>
      </w:tr>
      <w:tr>
        <w:tc>
          <w:tcPr>
            <w:tcW w:type="dxa" w:w="4680"/>
            <w:shd w:val="clear" w:color="auto" w:fill="EEF3FA"/>
          </w:tcPr>
          <w:p>
            <w:r>
              <w:rPr>
                <w:rFonts w:ascii="Calibri" w:hAnsi="Calibri"/>
                <w:color w:val="C7254E"/>
                <w:sz w:val="18"/>
              </w:rPr>
              <w:t>GET /api/algo-signals</w:t>
            </w:r>
          </w:p>
        </w:tc>
        <w:tc>
          <w:tcPr>
            <w:tcW w:type="dxa" w:w="468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11-rule engine, locked plans, key levels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color w:val="C7254E"/>
                <w:sz w:val="18"/>
              </w:rPr>
              <w:t>GET /api/stock-fo-picks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10 stocks, 7 methods, locked buy times</w:t>
            </w:r>
          </w:p>
        </w:tc>
      </w:tr>
      <w:tr>
        <w:tc>
          <w:tcPr>
            <w:tcW w:type="dxa" w:w="4680"/>
            <w:shd w:val="clear" w:color="auto" w:fill="EEF3FA"/>
          </w:tcPr>
          <w:p>
            <w:r>
              <w:rPr>
                <w:rFonts w:ascii="Calibri" w:hAnsi="Calibri"/>
                <w:color w:val="C7254E"/>
                <w:sz w:val="18"/>
              </w:rPr>
              <w:t>GET /api/time-span-picks</w:t>
            </w:r>
          </w:p>
        </w:tc>
        <w:tc>
          <w:tcPr>
            <w:tcW w:type="dxa" w:w="468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Session CE/PE picks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color w:val="C7254E"/>
                <w:sz w:val="18"/>
              </w:rPr>
              <w:t>GET /api/smart-oi/{index}</w:t>
            </w:r>
            <w:r>
              <w:rPr>
                <w:rFonts w:ascii="Calibri" w:hAnsi="Calibri"/>
                <w:sz w:val="18"/>
              </w:rPr>
              <w:t xml:space="preserve"> (+</w:t>
            </w:r>
            <w:r>
              <w:rPr>
                <w:rFonts w:ascii="Calibri" w:hAnsi="Calibri"/>
                <w:color w:val="C7254E"/>
                <w:sz w:val="18"/>
              </w:rPr>
              <w:t>-timeseries</w:t>
            </w:r>
            <w:r>
              <w:rPr>
                <w:rFonts w:ascii="Calibri" w:hAnsi="Calibri"/>
                <w:sz w:val="18"/>
              </w:rPr>
              <w:t>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Strike-wise OI + intraday series</w:t>
            </w:r>
          </w:p>
        </w:tc>
      </w:tr>
      <w:tr>
        <w:tc>
          <w:tcPr>
            <w:tcW w:type="dxa" w:w="4680"/>
            <w:shd w:val="clear" w:color="auto" w:fill="EEF3FA"/>
          </w:tcPr>
          <w:p>
            <w:r>
              <w:rPr>
                <w:rFonts w:ascii="Calibri" w:hAnsi="Calibri"/>
                <w:color w:val="C7254E"/>
                <w:sz w:val="18"/>
              </w:rPr>
              <w:t>GET /api/gex</w:t>
            </w:r>
            <w:r>
              <w:rPr>
                <w:rFonts w:ascii="Calibri" w:hAnsi="Calibri"/>
                <w:sz w:val="18"/>
              </w:rPr>
              <w:t xml:space="preserve"> / </w:t>
            </w:r>
            <w:r>
              <w:rPr>
                <w:rFonts w:ascii="Calibri" w:hAnsi="Calibri"/>
                <w:color w:val="C7254E"/>
                <w:sz w:val="18"/>
              </w:rPr>
              <w:t>oi-heatmap</w:t>
            </w:r>
            <w:r>
              <w:rPr>
                <w:rFonts w:ascii="Calibri" w:hAnsi="Calibri"/>
                <w:sz w:val="18"/>
              </w:rPr>
              <w:t xml:space="preserve"> / </w:t>
            </w:r>
            <w:r>
              <w:rPr>
                <w:rFonts w:ascii="Calibri" w:hAnsi="Calibri"/>
                <w:color w:val="C7254E"/>
                <w:sz w:val="18"/>
              </w:rPr>
              <w:t>iv-surface</w:t>
            </w:r>
            <w:r>
              <w:rPr>
                <w:rFonts w:ascii="Calibri" w:hAnsi="Calibri"/>
                <w:sz w:val="18"/>
              </w:rPr>
              <w:t xml:space="preserve"> / </w:t>
            </w:r>
            <w:r>
              <w:rPr>
                <w:rFonts w:ascii="Calibri" w:hAnsi="Calibri"/>
                <w:color w:val="C7254E"/>
                <w:sz w:val="18"/>
              </w:rPr>
              <w:t>mtf-signals</w:t>
            </w:r>
            <w:r>
              <w:rPr>
                <w:rFonts w:ascii="Calibri" w:hAnsi="Calibri"/>
                <w:sz w:val="18"/>
              </w:rPr>
              <w:t xml:space="preserve"> / </w:t>
            </w:r>
            <w:r>
              <w:rPr>
                <w:rFonts w:ascii="Calibri" w:hAnsi="Calibri"/>
                <w:color w:val="C7254E"/>
                <w:sz w:val="18"/>
              </w:rPr>
              <w:t>strategy-payoff</w:t>
            </w:r>
            <w:r>
              <w:rPr>
                <w:rFonts w:ascii="Calibri" w:hAnsi="Calibri"/>
                <w:sz w:val="18"/>
              </w:rPr>
              <w:t xml:space="preserve"> / </w:t>
            </w:r>
            <w:r>
              <w:rPr>
                <w:rFonts w:ascii="Calibri" w:hAnsi="Calibri"/>
                <w:color w:val="C7254E"/>
                <w:sz w:val="18"/>
              </w:rPr>
              <w:t>backtest</w:t>
            </w:r>
            <w:r>
              <w:rPr>
                <w:rFonts w:ascii="Calibri" w:hAnsi="Calibri"/>
                <w:sz w:val="18"/>
              </w:rPr>
              <w:t xml:space="preserve"> / </w:t>
            </w:r>
            <w:r>
              <w:rPr>
                <w:rFonts w:ascii="Calibri" w:hAnsi="Calibri"/>
                <w:color w:val="C7254E"/>
                <w:sz w:val="18"/>
              </w:rPr>
              <w:t>economic-calendar</w:t>
            </w:r>
          </w:p>
        </w:tc>
        <w:tc>
          <w:tcPr>
            <w:tcW w:type="dxa" w:w="468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Advanced tab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color w:val="C7254E"/>
                <w:sz w:val="18"/>
              </w:rPr>
              <w:t>GET /api/dashboard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Combined dashboard payload</w:t>
            </w:r>
          </w:p>
        </w:tc>
      </w:tr>
      <w:tr>
        <w:tc>
          <w:tcPr>
            <w:tcW w:type="dxa" w:w="4680"/>
            <w:shd w:val="clear" w:color="auto" w:fill="EEF3FA"/>
          </w:tcPr>
          <w:p>
            <w:r>
              <w:rPr>
                <w:rFonts w:ascii="Calibri" w:hAnsi="Calibri"/>
                <w:color w:val="C7254E"/>
                <w:sz w:val="18"/>
              </w:rPr>
              <w:t>WS /ws/live</w:t>
            </w:r>
          </w:p>
        </w:tc>
        <w:tc>
          <w:tcPr>
            <w:tcW w:type="dxa" w:w="468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2-second quote stream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pStyle w:val="Heading2"/>
      </w:pPr>
      <w:r>
        <w:t>7. UI / UX Features</w:t>
      </w:r>
    </w:p>
    <w:p>
      <w:pPr>
        <w:pStyle w:val="ListBullet"/>
      </w:pPr>
      <w:r>
        <w:rPr>
          <w:b/>
        </w:rPr>
        <w:t>Dark/Light theme</w:t>
      </w:r>
      <w:r>
        <w:t xml:space="preserve"> — navbar ☀️/🌙 toggle, saved in </w:t>
      </w:r>
      <w:r>
        <w:rPr>
          <w:rFonts w:ascii="Courier New" w:hAnsi="Courier New"/>
          <w:color w:val="C7254E"/>
          <w:sz w:val="18"/>
        </w:rPr>
        <w:t>localStorage</w:t>
      </w:r>
      <w:r>
        <w:t xml:space="preserve">, applied pre-paint (no flash). All colors flow through CSS variables; charts read the palette via </w:t>
      </w:r>
      <w:r>
        <w:rPr>
          <w:rFonts w:ascii="Courier New" w:hAnsi="Courier New"/>
          <w:color w:val="C7254E"/>
          <w:sz w:val="18"/>
        </w:rPr>
        <w:t>chartTheme()</w:t>
      </w:r>
      <w:r>
        <w:t xml:space="preserve"> and rebuild on toggle. Light palette tuned for contrast (amber replaces gold, deeper green/red/blue).</w:t>
      </w:r>
    </w:p>
    <w:p>
      <w:pPr>
        <w:pStyle w:val="ListBullet"/>
      </w:pPr>
      <w:r>
        <w:rPr>
          <w:b/>
        </w:rPr>
        <w:t>Collapsible cards</w:t>
      </w:r>
      <w:r>
        <w:t xml:space="preserve"> — Algo blocks and all Stock Picks cards (▾/▸ + Collapse all/Expand all); state survives auto-refresh.</w:t>
      </w:r>
    </w:p>
    <w:p>
      <w:pPr>
        <w:pStyle w:val="ListBullet"/>
      </w:pPr>
      <w:r>
        <w:rPr>
          <w:b/>
        </w:rPr>
        <w:t>Live behavior</w:t>
      </w:r>
      <w:r>
        <w:t xml:space="preserve"> — navbar prices flash on tick; Algo auto-refresh 30 s with change toasts; "Updated" clocks on Algo/Positions/Stock Picks/Time Slots.</w:t>
      </w:r>
    </w:p>
    <w:p>
      <w:pPr>
        <w:pStyle w:val="ListBullet"/>
      </w:pPr>
      <w:r>
        <w:rPr>
          <w:b/>
        </w:rPr>
        <w:t>Order flow</w:t>
      </w:r>
      <w:r>
        <w:t xml:space="preserve"> — algo card button → confirmation modal → </w:t>
      </w:r>
      <w:r>
        <w:rPr>
          <w:rFonts w:ascii="Courier New" w:hAnsi="Courier New"/>
          <w:color w:val="C7254E"/>
          <w:sz w:val="18"/>
        </w:rPr>
        <w:t>POST /api/order</w:t>
      </w:r>
      <w:r>
        <w:t xml:space="preserve"> (NRML/MIS, market/limit).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2"/>
      </w:pPr>
      <w:r>
        <w:t>8. Known Limitations / Roadmap</w:t>
      </w:r>
    </w:p>
    <w:p>
      <w:pPr>
        <w:pStyle w:val="ListBullet"/>
      </w:pPr>
      <w:r>
        <w:t xml:space="preserve">FII/DII and advance/decline are </w:t>
      </w:r>
      <w:r>
        <w:rPr>
          <w:b/>
        </w:rPr>
        <w:t>simulated</w:t>
      </w:r>
      <w:r>
        <w:t xml:space="preserve"> even when logged in.</w:t>
      </w:r>
    </w:p>
    <w:p>
      <w:pPr>
        <w:pStyle w:val="ListBullet"/>
      </w:pPr>
      <w:r>
        <w:t>OI History and the Smart OI time series are synthetic (no chain snapshot persistence yet).</w:t>
      </w:r>
    </w:p>
    <w:p>
      <w:pPr>
        <w:pStyle w:val="ListBullet"/>
      </w:pPr>
      <w:r>
        <w:t>IV rank uses a synthetic IV history; no IV-crush warning.</w:t>
      </w:r>
    </w:p>
    <w:p>
      <w:pPr>
        <w:pStyle w:val="ListBullet"/>
      </w:pPr>
      <w:r>
        <w:t>Locked trade plans live in server memory — a restart re-locks at current prices.</w:t>
      </w:r>
    </w:p>
    <w:p>
      <w:pPr>
        <w:pStyle w:val="ListBullet"/>
      </w:pPr>
      <w:r>
        <w:t>Mock mode: daily and intraday simulations are independent, so key levels can look offset from spot (live data is always consistent).</w:t>
      </w:r>
    </w:p>
    <w:p>
      <w:pPr>
        <w:pStyle w:val="ListBullet"/>
      </w:pPr>
      <w:r>
        <w:t xml:space="preserve">Full prioritized backlog: </w:t>
      </w:r>
      <w:r>
        <w:rPr>
          <w:b/>
        </w:rPr>
        <w:t>[PENDING_ANALYSIS_REPORT.md](PENDING_ANALYSIS_REPORT.md)</w:t>
      </w:r>
      <w:r>
        <w:t xml:space="preserve"> (next up: chain snapshotting → straddle tracker &amp; IV skew; theta clock; trailing SL; position sizing).</w:t>
      </w:r>
    </w:p>
    <w:p>
      <w:pPr>
        <w:pBdr>
          <w:bottom w:val="single" w:sz="6" w:space="1" w:color="2E74B5"/>
        </w:pBdr>
        <w:spacing w:after="120"/>
      </w:pPr>
    </w:p>
    <w:p>
      <w:pPr/>
      <w:r>
        <w:t>*Educational tooling — not investment advice. All targets/stop-losses follow the 1:2 risk-reward rule throughout the application.*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F&amp;O Analyzer — Analysis Documentation  |  NIFTY &amp; SENSEX Dashboard  |  v1.0.0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2F96D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626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