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авмк-сценарий-8-полосной-брошюры"/>
    <w:p>
      <w:pPr>
        <w:pStyle w:val="Heading1"/>
      </w:pPr>
      <w:r>
        <w:t xml:space="preserve">АВМК — сценарий 8-полосной брошюры</w:t>
      </w:r>
    </w:p>
    <w:bookmarkStart w:id="20" w:name="принцип"/>
    <w:p>
      <w:pPr>
        <w:pStyle w:val="Heading2"/>
      </w:pPr>
      <w:r>
        <w:t xml:space="preserve">Принцип</w:t>
      </w:r>
    </w:p>
    <w:p>
      <w:pPr>
        <w:pStyle w:val="FirstParagraph"/>
      </w:pPr>
      <w:r>
        <w:t xml:space="preserve">Каждая полоса должна иметь</w:t>
      </w:r>
      <w:r>
        <w:t xml:space="preserve"> </w:t>
      </w:r>
      <w:r>
        <w:rPr>
          <w:bCs/>
          <w:b/>
        </w:rPr>
        <w:t xml:space="preserve">одну основную задачу</w:t>
      </w:r>
      <w:r>
        <w:t xml:space="preserve">, 1 главный визуальный акцент и 3–6 коротких смысловых блоков. Внутри всей брошюры нужно удерживать равную плотность информации и единый ритм.</w:t>
      </w:r>
    </w:p>
    <w:p>
      <w:r>
        <w:pict>
          <v:rect style="width:0;height:1.5pt" o:hralign="center" o:hrstd="t" o:hr="t"/>
        </w:pict>
      </w:r>
    </w:p>
    <w:bookmarkEnd w:id="20"/>
    <w:bookmarkStart w:id="27" w:name="полоса-1-обложка"/>
    <w:p>
      <w:pPr>
        <w:pStyle w:val="Heading2"/>
      </w:pPr>
      <w:r>
        <w:t xml:space="preserve">Полоса 1 — Обложка</w:t>
      </w:r>
    </w:p>
    <w:bookmarkStart w:id="21" w:name="задача"/>
    <w:p>
      <w:pPr>
        <w:pStyle w:val="Heading3"/>
      </w:pPr>
      <w:r>
        <w:t xml:space="preserve">Задача</w:t>
      </w:r>
    </w:p>
    <w:p>
      <w:pPr>
        <w:pStyle w:val="FirstParagraph"/>
      </w:pPr>
      <w:r>
        <w:t xml:space="preserve">С первого взгляда объяснить, что это интегрированная операционная система госпитального уровня.</w:t>
      </w:r>
    </w:p>
    <w:bookmarkEnd w:id="21"/>
    <w:bookmarkStart w:id="22" w:name="заголовок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Интегрированная операционная АВМК</w:t>
      </w:r>
    </w:p>
    <w:bookmarkEnd w:id="22"/>
    <w:bookmarkStart w:id="23" w:name="подзаголовок"/>
    <w:p>
      <w:pPr>
        <w:pStyle w:val="Heading3"/>
      </w:pPr>
      <w:r>
        <w:t xml:space="preserve">Подзаголовок</w:t>
      </w:r>
    </w:p>
    <w:p>
      <w:pPr>
        <w:pStyle w:val="FirstParagraph"/>
      </w:pPr>
      <w:r>
        <w:t xml:space="preserve">Единая среда визуализации, записи и управления в операционной.</w:t>
      </w:r>
    </w:p>
    <w:bookmarkEnd w:id="23"/>
    <w:bookmarkStart w:id="24" w:name="тезисы"/>
    <w:p>
      <w:pPr>
        <w:pStyle w:val="Heading3"/>
      </w:pPr>
      <w:r>
        <w:t xml:space="preserve">Тезисы</w:t>
      </w:r>
    </w:p>
    <w:p>
      <w:pPr>
        <w:numPr>
          <w:ilvl w:val="0"/>
          <w:numId w:val="1001"/>
        </w:numPr>
        <w:pStyle w:val="Compact"/>
      </w:pPr>
      <w:r>
        <w:t xml:space="preserve">видеоменеджмент;</w:t>
      </w:r>
    </w:p>
    <w:p>
      <w:pPr>
        <w:numPr>
          <w:ilvl w:val="0"/>
          <w:numId w:val="1001"/>
        </w:numPr>
        <w:pStyle w:val="Compact"/>
      </w:pPr>
      <w:r>
        <w:t xml:space="preserve">архив и запись операций;</w:t>
      </w:r>
    </w:p>
    <w:p>
      <w:pPr>
        <w:numPr>
          <w:ilvl w:val="0"/>
          <w:numId w:val="1001"/>
        </w:numPr>
        <w:pStyle w:val="Compact"/>
      </w:pPr>
      <w:r>
        <w:t xml:space="preserve">телемедицина;</w:t>
      </w:r>
    </w:p>
    <w:p>
      <w:pPr>
        <w:numPr>
          <w:ilvl w:val="0"/>
          <w:numId w:val="1001"/>
        </w:numPr>
        <w:pStyle w:val="Compact"/>
      </w:pPr>
      <w:r>
        <w:t xml:space="preserve">интеграция с ИТ- и инженерной средой.</w:t>
      </w:r>
    </w:p>
    <w:bookmarkEnd w:id="24"/>
    <w:bookmarkStart w:id="25" w:name="визуал"/>
    <w:p>
      <w:pPr>
        <w:pStyle w:val="Heading3"/>
      </w:pPr>
      <w:r>
        <w:t xml:space="preserve">Визуал</w:t>
      </w:r>
    </w:p>
    <w:p>
      <w:pPr>
        <w:numPr>
          <w:ilvl w:val="0"/>
          <w:numId w:val="1002"/>
        </w:numPr>
        <w:pStyle w:val="Compact"/>
      </w:pPr>
      <w:r>
        <w:t xml:space="preserve">крупная изометрическая или полуизометрическая сцена операционной;</w:t>
      </w:r>
    </w:p>
    <w:p>
      <w:pPr>
        <w:numPr>
          <w:ilvl w:val="0"/>
          <w:numId w:val="1002"/>
        </w:numPr>
        <w:pStyle w:val="Compact"/>
      </w:pPr>
      <w:r>
        <w:t xml:space="preserve">доминирующая информационная панель;</w:t>
      </w:r>
    </w:p>
    <w:p>
      <w:pPr>
        <w:numPr>
          <w:ilvl w:val="0"/>
          <w:numId w:val="1002"/>
        </w:numPr>
        <w:pStyle w:val="Compact"/>
      </w:pPr>
      <w:r>
        <w:t xml:space="preserve">люди — только как масштаб и контекст, не как эмоциональный центр.</w:t>
      </w:r>
    </w:p>
    <w:bookmarkEnd w:id="25"/>
    <w:bookmarkStart w:id="26" w:name="источники"/>
    <w:p>
      <w:pPr>
        <w:pStyle w:val="Heading3"/>
      </w:pPr>
      <w:r>
        <w:t xml:space="preserve">Источники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AVMKCLAUDEDESIGN.pdf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CuratOR_EN (1).pdf</w:t>
      </w:r>
      <w:r>
        <w:t xml:space="preserve"> </w:t>
      </w:r>
      <w:r>
        <w:t xml:space="preserve">— как референс по чистоте подачи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АВМК_Брошюра_Интегрированная_операционная_15стр.pdf</w:t>
      </w:r>
      <w:r>
        <w:t xml:space="preserve"> </w:t>
      </w:r>
      <w:r>
        <w:t xml:space="preserve">— логика обложки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полоса-2-обзор-системы"/>
    <w:p>
      <w:pPr>
        <w:pStyle w:val="Heading2"/>
      </w:pPr>
      <w:r>
        <w:t xml:space="preserve">Полоса 2 — Обзор системы</w:t>
      </w:r>
    </w:p>
    <w:bookmarkStart w:id="28" w:name="задача-1"/>
    <w:p>
      <w:pPr>
        <w:pStyle w:val="Heading3"/>
      </w:pPr>
      <w:r>
        <w:t xml:space="preserve">Задача</w:t>
      </w:r>
    </w:p>
    <w:p>
      <w:pPr>
        <w:pStyle w:val="FirstParagraph"/>
      </w:pPr>
      <w:r>
        <w:t xml:space="preserve">Показать, что АВМК — единый контур, а не разрозненные устройства.</w:t>
      </w:r>
    </w:p>
    <w:bookmarkEnd w:id="28"/>
    <w:bookmarkStart w:id="29" w:name="заголовок-1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Одна среда — весь хирургический рабочий процесс</w:t>
      </w:r>
    </w:p>
    <w:bookmarkEnd w:id="29"/>
    <w:bookmarkStart w:id="30" w:name="тезисы-1"/>
    <w:p>
      <w:pPr>
        <w:pStyle w:val="Heading3"/>
      </w:pPr>
      <w:r>
        <w:t xml:space="preserve">Тезисы</w:t>
      </w:r>
    </w:p>
    <w:p>
      <w:pPr>
        <w:numPr>
          <w:ilvl w:val="0"/>
          <w:numId w:val="1004"/>
        </w:numPr>
        <w:pStyle w:val="Compact"/>
      </w:pPr>
      <w:r>
        <w:t xml:space="preserve">источники видео и данных подключаются в единое ядро;</w:t>
      </w:r>
    </w:p>
    <w:p>
      <w:pPr>
        <w:numPr>
          <w:ilvl w:val="0"/>
          <w:numId w:val="1004"/>
        </w:numPr>
        <w:pStyle w:val="Compact"/>
      </w:pPr>
      <w:r>
        <w:t xml:space="preserve">управление ведется с сенсорных панелей;</w:t>
      </w:r>
    </w:p>
    <w:p>
      <w:pPr>
        <w:numPr>
          <w:ilvl w:val="0"/>
          <w:numId w:val="1004"/>
        </w:numPr>
        <w:pStyle w:val="Compact"/>
      </w:pPr>
      <w:r>
        <w:t xml:space="preserve">потоки уходят на мониторы, архив, ВКС и интеграционные контуры;</w:t>
      </w:r>
    </w:p>
    <w:p>
      <w:pPr>
        <w:numPr>
          <w:ilvl w:val="0"/>
          <w:numId w:val="1004"/>
        </w:numPr>
        <w:pStyle w:val="Compact"/>
      </w:pPr>
      <w:r>
        <w:t xml:space="preserve">система рассчитана на госпитальную эксплуатацию 24/7.</w:t>
      </w:r>
    </w:p>
    <w:bookmarkEnd w:id="30"/>
    <w:bookmarkStart w:id="31" w:name="обязательные-метрики"/>
    <w:p>
      <w:pPr>
        <w:pStyle w:val="Heading3"/>
      </w:pPr>
      <w:r>
        <w:t xml:space="preserve">Обязательные метрики</w:t>
      </w:r>
    </w:p>
    <w:p>
      <w:pPr>
        <w:numPr>
          <w:ilvl w:val="0"/>
          <w:numId w:val="1005"/>
        </w:numPr>
        <w:pStyle w:val="Compact"/>
      </w:pPr>
      <w:r>
        <w:t xml:space="preserve">задержка прямой коммутации;</w:t>
      </w:r>
    </w:p>
    <w:p>
      <w:pPr>
        <w:numPr>
          <w:ilvl w:val="0"/>
          <w:numId w:val="1005"/>
        </w:numPr>
        <w:pStyle w:val="Compact"/>
      </w:pPr>
      <w:r>
        <w:t xml:space="preserve">разрешение источников и дисплеев;</w:t>
      </w:r>
    </w:p>
    <w:p>
      <w:pPr>
        <w:numPr>
          <w:ilvl w:val="0"/>
          <w:numId w:val="1005"/>
        </w:numPr>
        <w:pStyle w:val="Compact"/>
      </w:pPr>
      <w:r>
        <w:t xml:space="preserve">степень защиты панели;</w:t>
      </w:r>
    </w:p>
    <w:p>
      <w:pPr>
        <w:numPr>
          <w:ilvl w:val="0"/>
          <w:numId w:val="1005"/>
        </w:numPr>
        <w:pStyle w:val="Compact"/>
      </w:pPr>
      <w:r>
        <w:t xml:space="preserve">объем архива / масштабируемость.</w:t>
      </w:r>
    </w:p>
    <w:bookmarkEnd w:id="31"/>
    <w:bookmarkStart w:id="32" w:name="визуал-1"/>
    <w:p>
      <w:pPr>
        <w:pStyle w:val="Heading3"/>
      </w:pPr>
      <w:r>
        <w:t xml:space="preserve">Визуал</w:t>
      </w:r>
    </w:p>
    <w:p>
      <w:pPr>
        <w:numPr>
          <w:ilvl w:val="0"/>
          <w:numId w:val="1006"/>
        </w:numPr>
        <w:pStyle w:val="Compact"/>
      </w:pPr>
      <w:r>
        <w:t xml:space="preserve">схема «источники → ядро → выводы / архив / ВКС / МИС»;</w:t>
      </w:r>
    </w:p>
    <w:p>
      <w:pPr>
        <w:numPr>
          <w:ilvl w:val="0"/>
          <w:numId w:val="1006"/>
        </w:numPr>
        <w:pStyle w:val="Compact"/>
      </w:pPr>
      <w:r>
        <w:t xml:space="preserve">без лишнего декора;</w:t>
      </w:r>
    </w:p>
    <w:p>
      <w:pPr>
        <w:numPr>
          <w:ilvl w:val="0"/>
          <w:numId w:val="1006"/>
        </w:numPr>
        <w:pStyle w:val="Compact"/>
      </w:pPr>
      <w:r>
        <w:t xml:space="preserve">можно использовать 1 акцентный интерфейсный цвет.</w:t>
      </w:r>
    </w:p>
    <w:bookmarkEnd w:id="32"/>
    <w:bookmarkStart w:id="33" w:name="источники-1"/>
    <w:p>
      <w:pPr>
        <w:pStyle w:val="Heading3"/>
      </w:pPr>
      <w:r>
        <w:t xml:space="preserve">Источники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АВМК_Брошюра_Интегрированная_операционная.pdf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АВМК_Брошюра_Интегрированная_операционная_15стр.pdf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полоса-3-ценность-для-клиники"/>
    <w:p>
      <w:pPr>
        <w:pStyle w:val="Heading2"/>
      </w:pPr>
      <w:r>
        <w:t xml:space="preserve">Полоса 3 — Ценность для клиники</w:t>
      </w:r>
    </w:p>
    <w:bookmarkStart w:id="35" w:name="задача-2"/>
    <w:p>
      <w:pPr>
        <w:pStyle w:val="Heading3"/>
      </w:pPr>
      <w:r>
        <w:t xml:space="preserve">Задача</w:t>
      </w:r>
    </w:p>
    <w:p>
      <w:pPr>
        <w:pStyle w:val="FirstParagraph"/>
      </w:pPr>
      <w:r>
        <w:t xml:space="preserve">Перевести разговор из техники в результат для клиники и операционного блока.</w:t>
      </w:r>
    </w:p>
    <w:bookmarkEnd w:id="35"/>
    <w:bookmarkStart w:id="36" w:name="заголовок-2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Почему интеграция операционной важна</w:t>
      </w:r>
    </w:p>
    <w:bookmarkEnd w:id="36"/>
    <w:bookmarkStart w:id="37" w:name="тезисы-2"/>
    <w:p>
      <w:pPr>
        <w:pStyle w:val="Heading3"/>
      </w:pPr>
      <w:r>
        <w:t xml:space="preserve">Тезисы</w:t>
      </w:r>
    </w:p>
    <w:p>
      <w:pPr>
        <w:numPr>
          <w:ilvl w:val="0"/>
          <w:numId w:val="1008"/>
        </w:numPr>
        <w:pStyle w:val="Compact"/>
      </w:pPr>
      <w:r>
        <w:t xml:space="preserve">меньше ручных переключений и организационного трения;</w:t>
      </w:r>
    </w:p>
    <w:p>
      <w:pPr>
        <w:numPr>
          <w:ilvl w:val="0"/>
          <w:numId w:val="1008"/>
        </w:numPr>
        <w:pStyle w:val="Compact"/>
      </w:pPr>
      <w:r>
        <w:t xml:space="preserve">прозрачная запись и архивирование вмешательств;</w:t>
      </w:r>
    </w:p>
    <w:p>
      <w:pPr>
        <w:numPr>
          <w:ilvl w:val="0"/>
          <w:numId w:val="1008"/>
        </w:numPr>
        <w:pStyle w:val="Compact"/>
      </w:pPr>
      <w:r>
        <w:t xml:space="preserve">быстрый доступ к данным и исследованиям;</w:t>
      </w:r>
    </w:p>
    <w:p>
      <w:pPr>
        <w:numPr>
          <w:ilvl w:val="0"/>
          <w:numId w:val="1008"/>
        </w:numPr>
        <w:pStyle w:val="Compact"/>
      </w:pPr>
      <w:r>
        <w:t xml:space="preserve">единое окно для телемедицины и консультаций;</w:t>
      </w:r>
    </w:p>
    <w:p>
      <w:pPr>
        <w:numPr>
          <w:ilvl w:val="0"/>
          <w:numId w:val="1008"/>
        </w:numPr>
        <w:pStyle w:val="Compact"/>
      </w:pPr>
      <w:r>
        <w:t xml:space="preserve">рост управляемости операционного процесса.</w:t>
      </w:r>
    </w:p>
    <w:bookmarkEnd w:id="37"/>
    <w:bookmarkStart w:id="38" w:name="визуал-2"/>
    <w:p>
      <w:pPr>
        <w:pStyle w:val="Heading3"/>
      </w:pPr>
      <w:r>
        <w:t xml:space="preserve">Визуал</w:t>
      </w:r>
    </w:p>
    <w:p>
      <w:pPr>
        <w:numPr>
          <w:ilvl w:val="0"/>
          <w:numId w:val="1009"/>
        </w:numPr>
        <w:pStyle w:val="Compact"/>
      </w:pPr>
      <w:r>
        <w:t xml:space="preserve">4–5 карточек преимуществ;</w:t>
      </w:r>
    </w:p>
    <w:p>
      <w:pPr>
        <w:numPr>
          <w:ilvl w:val="0"/>
          <w:numId w:val="1009"/>
        </w:numPr>
        <w:pStyle w:val="Compact"/>
      </w:pPr>
      <w:r>
        <w:t xml:space="preserve">иконки и короткие пояснения;</w:t>
      </w:r>
    </w:p>
    <w:p>
      <w:pPr>
        <w:numPr>
          <w:ilvl w:val="0"/>
          <w:numId w:val="1009"/>
        </w:numPr>
        <w:pStyle w:val="Compact"/>
      </w:pPr>
      <w:r>
        <w:t xml:space="preserve">можно добавить один тезис для ЛПР: безопасность, эффективность, управляемость.</w:t>
      </w:r>
    </w:p>
    <w:bookmarkEnd w:id="38"/>
    <w:bookmarkStart w:id="39" w:name="источники-2"/>
    <w:p>
      <w:pPr>
        <w:pStyle w:val="Heading3"/>
      </w:pPr>
      <w:r>
        <w:t xml:space="preserve">Источники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AVMK_Буклет_для_руководителей.pdf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Техническое задание на разработку дизайна буклета АВМК (1).pdf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полоса-4-видеоменеджмент"/>
    <w:p>
      <w:pPr>
        <w:pStyle w:val="Heading2"/>
      </w:pPr>
      <w:r>
        <w:t xml:space="preserve">Полоса 4 — Видеоменеджмент</w:t>
      </w:r>
    </w:p>
    <w:bookmarkStart w:id="41" w:name="задача-3"/>
    <w:p>
      <w:pPr>
        <w:pStyle w:val="Heading3"/>
      </w:pPr>
      <w:r>
        <w:t xml:space="preserve">Задача</w:t>
      </w:r>
    </w:p>
    <w:p>
      <w:pPr>
        <w:pStyle w:val="FirstParagraph"/>
      </w:pPr>
      <w:r>
        <w:t xml:space="preserve">Показать сильную сторону системы: маршрутизацию и управляемость видеосигналов.</w:t>
      </w:r>
    </w:p>
    <w:bookmarkEnd w:id="41"/>
    <w:bookmarkStart w:id="42" w:name="заголовок-3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Каждый источник — на нужный монитор</w:t>
      </w:r>
    </w:p>
    <w:bookmarkEnd w:id="42"/>
    <w:bookmarkStart w:id="43" w:name="тезисы-3"/>
    <w:p>
      <w:pPr>
        <w:pStyle w:val="Heading3"/>
      </w:pPr>
      <w:r>
        <w:t xml:space="preserve">Тезисы</w:t>
      </w:r>
    </w:p>
    <w:p>
      <w:pPr>
        <w:numPr>
          <w:ilvl w:val="0"/>
          <w:numId w:val="1011"/>
        </w:numPr>
        <w:pStyle w:val="Compact"/>
      </w:pPr>
      <w:r>
        <w:t xml:space="preserve">маршрутизация эндоскопа, УЗИ, С-дуги, PTZ и других источников;</w:t>
      </w:r>
    </w:p>
    <w:p>
      <w:pPr>
        <w:numPr>
          <w:ilvl w:val="0"/>
          <w:numId w:val="1011"/>
        </w:numPr>
        <w:pStyle w:val="Compact"/>
      </w:pPr>
      <w:r>
        <w:t xml:space="preserve">PiP / PaP / Quad / Full Screen;</w:t>
      </w:r>
    </w:p>
    <w:p>
      <w:pPr>
        <w:numPr>
          <w:ilvl w:val="0"/>
          <w:numId w:val="1011"/>
        </w:numPr>
        <w:pStyle w:val="Compact"/>
      </w:pPr>
      <w:r>
        <w:t xml:space="preserve">жестовое управление;</w:t>
      </w:r>
    </w:p>
    <w:p>
      <w:pPr>
        <w:numPr>
          <w:ilvl w:val="0"/>
          <w:numId w:val="1011"/>
        </w:numPr>
        <w:pStyle w:val="Compact"/>
      </w:pPr>
      <w:r>
        <w:t xml:space="preserve">прямой поток без лишней задержки.</w:t>
      </w:r>
    </w:p>
    <w:bookmarkEnd w:id="43"/>
    <w:bookmarkStart w:id="44" w:name="визуал-3"/>
    <w:p>
      <w:pPr>
        <w:pStyle w:val="Heading3"/>
      </w:pPr>
      <w:r>
        <w:t xml:space="preserve">Визуал</w:t>
      </w:r>
    </w:p>
    <w:p>
      <w:pPr>
        <w:numPr>
          <w:ilvl w:val="0"/>
          <w:numId w:val="1012"/>
        </w:numPr>
        <w:pStyle w:val="Compact"/>
      </w:pPr>
      <w:r>
        <w:t xml:space="preserve">схема матрицы / маршрутизации;</w:t>
      </w:r>
    </w:p>
    <w:p>
      <w:pPr>
        <w:numPr>
          <w:ilvl w:val="0"/>
          <w:numId w:val="1012"/>
        </w:numPr>
        <w:pStyle w:val="Compact"/>
      </w:pPr>
      <w:r>
        <w:t xml:space="preserve">экранные композиции;</w:t>
      </w:r>
    </w:p>
    <w:p>
      <w:pPr>
        <w:numPr>
          <w:ilvl w:val="0"/>
          <w:numId w:val="1012"/>
        </w:numPr>
        <w:pStyle w:val="Compact"/>
      </w:pPr>
      <w:r>
        <w:t xml:space="preserve">интерфейсные фрагменты;</w:t>
      </w:r>
    </w:p>
    <w:p>
      <w:pPr>
        <w:numPr>
          <w:ilvl w:val="0"/>
          <w:numId w:val="1012"/>
        </w:numPr>
        <w:pStyle w:val="Compact"/>
      </w:pPr>
      <w:r>
        <w:t xml:space="preserve">можно использовать схему с подписями входов и выходов.</w:t>
      </w:r>
    </w:p>
    <w:bookmarkEnd w:id="44"/>
    <w:bookmarkStart w:id="45" w:name="источники-3"/>
    <w:p>
      <w:pPr>
        <w:pStyle w:val="Heading3"/>
      </w:pPr>
      <w:r>
        <w:t xml:space="preserve">Источники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АВМК_Брошюра_Интегрированная_операционная.pdf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АВМК_Брошюра_Интегрированная_операционная_15стр.pdf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полоса-5-запись-архив-телемедицина"/>
    <w:p>
      <w:pPr>
        <w:pStyle w:val="Heading2"/>
      </w:pPr>
      <w:r>
        <w:t xml:space="preserve">Полоса 5 — Запись, архив, телемедицина</w:t>
      </w:r>
    </w:p>
    <w:bookmarkStart w:id="47" w:name="задача-4"/>
    <w:p>
      <w:pPr>
        <w:pStyle w:val="Heading3"/>
      </w:pPr>
      <w:r>
        <w:t xml:space="preserve">Задача</w:t>
      </w:r>
    </w:p>
    <w:p>
      <w:pPr>
        <w:pStyle w:val="FirstParagraph"/>
      </w:pPr>
      <w:r>
        <w:t xml:space="preserve">Показать жизненный цикл материалов операции после вывода на экран.</w:t>
      </w:r>
    </w:p>
    <w:bookmarkEnd w:id="47"/>
    <w:bookmarkStart w:id="48" w:name="заголовок-4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Запись, архив и удалённые консультации</w:t>
      </w:r>
    </w:p>
    <w:bookmarkEnd w:id="48"/>
    <w:bookmarkStart w:id="49" w:name="тезисы-4"/>
    <w:p>
      <w:pPr>
        <w:pStyle w:val="Heading3"/>
      </w:pPr>
      <w:r>
        <w:t xml:space="preserve">Тезисы</w:t>
      </w:r>
    </w:p>
    <w:p>
      <w:pPr>
        <w:numPr>
          <w:ilvl w:val="0"/>
          <w:numId w:val="1014"/>
        </w:numPr>
        <w:pStyle w:val="Compact"/>
      </w:pPr>
      <w:r>
        <w:t xml:space="preserve">плановая и экстренная запись;</w:t>
      </w:r>
    </w:p>
    <w:p>
      <w:pPr>
        <w:numPr>
          <w:ilvl w:val="0"/>
          <w:numId w:val="1014"/>
        </w:numPr>
        <w:pStyle w:val="Compact"/>
      </w:pPr>
      <w:r>
        <w:t xml:space="preserve">клипы и синхронные снимки;</w:t>
      </w:r>
    </w:p>
    <w:p>
      <w:pPr>
        <w:numPr>
          <w:ilvl w:val="0"/>
          <w:numId w:val="1014"/>
        </w:numPr>
        <w:pStyle w:val="Compact"/>
      </w:pPr>
      <w:r>
        <w:t xml:space="preserve">тайм-машина и доступ к архиву;</w:t>
      </w:r>
    </w:p>
    <w:p>
      <w:pPr>
        <w:numPr>
          <w:ilvl w:val="0"/>
          <w:numId w:val="1014"/>
        </w:numPr>
        <w:pStyle w:val="Compact"/>
      </w:pPr>
      <w:r>
        <w:t xml:space="preserve">трансляция и подключение внешних специалистов;</w:t>
      </w:r>
    </w:p>
    <w:p>
      <w:pPr>
        <w:numPr>
          <w:ilvl w:val="0"/>
          <w:numId w:val="1014"/>
        </w:numPr>
        <w:pStyle w:val="Compact"/>
      </w:pPr>
      <w:r>
        <w:t xml:space="preserve">веб/ВКС/TrueConf/SIP — в зависимости от реальной конфигурации.</w:t>
      </w:r>
    </w:p>
    <w:bookmarkEnd w:id="49"/>
    <w:bookmarkStart w:id="50" w:name="визуал-4"/>
    <w:p>
      <w:pPr>
        <w:pStyle w:val="Heading3"/>
      </w:pPr>
      <w:r>
        <w:t xml:space="preserve">Визуал</w:t>
      </w:r>
    </w:p>
    <w:p>
      <w:pPr>
        <w:numPr>
          <w:ilvl w:val="0"/>
          <w:numId w:val="1015"/>
        </w:numPr>
        <w:pStyle w:val="Compact"/>
      </w:pPr>
      <w:r>
        <w:t xml:space="preserve">3 вертикальных блока: запись / архив / консультации;</w:t>
      </w:r>
    </w:p>
    <w:p>
      <w:pPr>
        <w:numPr>
          <w:ilvl w:val="0"/>
          <w:numId w:val="1015"/>
        </w:numPr>
        <w:pStyle w:val="Compact"/>
      </w:pPr>
      <w:r>
        <w:t xml:space="preserve">либо одна осевая схема жизненного цикла контента.</w:t>
      </w:r>
    </w:p>
    <w:bookmarkEnd w:id="50"/>
    <w:bookmarkStart w:id="51" w:name="источники-4"/>
    <w:p>
      <w:pPr>
        <w:pStyle w:val="Heading3"/>
      </w:pPr>
      <w:r>
        <w:t xml:space="preserve">Источники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AVMK_Буклет_для_руководителей.pdf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АВМК_Брошюра_Интегрированная_операционная_15стр.pdf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полоса-6-интеграции-и-данные-пациента"/>
    <w:p>
      <w:pPr>
        <w:pStyle w:val="Heading2"/>
      </w:pPr>
      <w:r>
        <w:t xml:space="preserve">Полоса 6 — Интеграции и данные пациента</w:t>
      </w:r>
    </w:p>
    <w:bookmarkStart w:id="53" w:name="задача-5"/>
    <w:p>
      <w:pPr>
        <w:pStyle w:val="Heading3"/>
      </w:pPr>
      <w:r>
        <w:t xml:space="preserve">Задача</w:t>
      </w:r>
    </w:p>
    <w:p>
      <w:pPr>
        <w:pStyle w:val="FirstParagraph"/>
      </w:pPr>
      <w:r>
        <w:t xml:space="preserve">Показать, что решение встраивается в ИТ-контур клиники.</w:t>
      </w:r>
    </w:p>
    <w:bookmarkEnd w:id="53"/>
    <w:bookmarkStart w:id="54" w:name="заголовок-5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Данные пациента и госпитальные интеграции</w:t>
      </w:r>
    </w:p>
    <w:bookmarkEnd w:id="54"/>
    <w:bookmarkStart w:id="55" w:name="тезисы-5"/>
    <w:p>
      <w:pPr>
        <w:pStyle w:val="Heading3"/>
      </w:pPr>
      <w:r>
        <w:t xml:space="preserve">Тезисы</w:t>
      </w:r>
    </w:p>
    <w:p>
      <w:pPr>
        <w:numPr>
          <w:ilvl w:val="0"/>
          <w:numId w:val="1017"/>
        </w:numPr>
        <w:pStyle w:val="Compact"/>
      </w:pPr>
      <w:r>
        <w:t xml:space="preserve">МИС / PACS / ЕМИАС;</w:t>
      </w:r>
    </w:p>
    <w:p>
      <w:pPr>
        <w:numPr>
          <w:ilvl w:val="0"/>
          <w:numId w:val="1017"/>
        </w:numPr>
        <w:pStyle w:val="Compact"/>
      </w:pPr>
      <w:r>
        <w:t xml:space="preserve">DICOM / HL7;</w:t>
      </w:r>
    </w:p>
    <w:p>
      <w:pPr>
        <w:numPr>
          <w:ilvl w:val="0"/>
          <w:numId w:val="1017"/>
        </w:numPr>
        <w:pStyle w:val="Compact"/>
      </w:pPr>
      <w:r>
        <w:t xml:space="preserve">worklist и обмен изображениями;</w:t>
      </w:r>
    </w:p>
    <w:p>
      <w:pPr>
        <w:numPr>
          <w:ilvl w:val="0"/>
          <w:numId w:val="1017"/>
        </w:numPr>
        <w:pStyle w:val="Compact"/>
      </w:pPr>
      <w:r>
        <w:t xml:space="preserve">автоматизация карт и связанного документооборота;</w:t>
      </w:r>
    </w:p>
    <w:p>
      <w:pPr>
        <w:numPr>
          <w:ilvl w:val="0"/>
          <w:numId w:val="1017"/>
        </w:numPr>
        <w:pStyle w:val="Compact"/>
      </w:pPr>
      <w:r>
        <w:t xml:space="preserve">единый доступ к данным в процессе операции.</w:t>
      </w:r>
    </w:p>
    <w:bookmarkEnd w:id="55"/>
    <w:bookmarkStart w:id="56" w:name="визуал-5"/>
    <w:p>
      <w:pPr>
        <w:pStyle w:val="Heading3"/>
      </w:pPr>
      <w:r>
        <w:t xml:space="preserve">Визуал</w:t>
      </w:r>
    </w:p>
    <w:p>
      <w:pPr>
        <w:numPr>
          <w:ilvl w:val="0"/>
          <w:numId w:val="1018"/>
        </w:numPr>
        <w:pStyle w:val="Compact"/>
      </w:pPr>
      <w:r>
        <w:t xml:space="preserve">инфографика интеграций;</w:t>
      </w:r>
    </w:p>
    <w:p>
      <w:pPr>
        <w:numPr>
          <w:ilvl w:val="0"/>
          <w:numId w:val="1018"/>
        </w:numPr>
        <w:pStyle w:val="Compact"/>
      </w:pPr>
      <w:r>
        <w:t xml:space="preserve">акцент на зрелости и совместимости;</w:t>
      </w:r>
    </w:p>
    <w:p>
      <w:pPr>
        <w:numPr>
          <w:ilvl w:val="0"/>
          <w:numId w:val="1018"/>
        </w:numPr>
        <w:pStyle w:val="Compact"/>
      </w:pPr>
      <w:r>
        <w:t xml:space="preserve">без перегруза протоколами мелким текстом.</w:t>
      </w:r>
    </w:p>
    <w:bookmarkEnd w:id="56"/>
    <w:bookmarkStart w:id="57" w:name="источники-5"/>
    <w:p>
      <w:pPr>
        <w:pStyle w:val="Heading3"/>
      </w:pPr>
      <w:r>
        <w:t xml:space="preserve">Источники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AVMK_Буклет_для_руководителей.pdf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Технический паспорт + Руководство (1).pdf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полоса-7-комплектации-и-модульность"/>
    <w:p>
      <w:pPr>
        <w:pStyle w:val="Heading2"/>
      </w:pPr>
      <w:r>
        <w:t xml:space="preserve">Полоса 7 — Комплектации и модульность</w:t>
      </w:r>
    </w:p>
    <w:bookmarkStart w:id="59" w:name="задача-6"/>
    <w:p>
      <w:pPr>
        <w:pStyle w:val="Heading3"/>
      </w:pPr>
      <w:r>
        <w:t xml:space="preserve">Задача</w:t>
      </w:r>
    </w:p>
    <w:p>
      <w:pPr>
        <w:pStyle w:val="FirstParagraph"/>
      </w:pPr>
      <w:r>
        <w:t xml:space="preserve">Коротко, но убедительно показать, что система масштабируется.</w:t>
      </w:r>
    </w:p>
    <w:bookmarkEnd w:id="59"/>
    <w:bookmarkStart w:id="60" w:name="заголовок-6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Комплектация под задачи и профиль объекта</w:t>
      </w:r>
    </w:p>
    <w:bookmarkEnd w:id="60"/>
    <w:bookmarkStart w:id="61" w:name="тезисы-6"/>
    <w:p>
      <w:pPr>
        <w:pStyle w:val="Heading3"/>
      </w:pPr>
      <w:r>
        <w:t xml:space="preserve">Тезисы</w:t>
      </w:r>
    </w:p>
    <w:p>
      <w:pPr>
        <w:numPr>
          <w:ilvl w:val="0"/>
          <w:numId w:val="1020"/>
        </w:numPr>
        <w:pStyle w:val="Compact"/>
      </w:pPr>
      <w:r>
        <w:t xml:space="preserve">состав системы зависит от комплектации;</w:t>
      </w:r>
    </w:p>
    <w:p>
      <w:pPr>
        <w:numPr>
          <w:ilvl w:val="0"/>
          <w:numId w:val="1020"/>
        </w:numPr>
        <w:pStyle w:val="Compact"/>
      </w:pPr>
      <w:r>
        <w:t xml:space="preserve">базовая конфигурация закрывает ядро визуализации и управления;</w:t>
      </w:r>
    </w:p>
    <w:p>
      <w:pPr>
        <w:numPr>
          <w:ilvl w:val="0"/>
          <w:numId w:val="1020"/>
        </w:numPr>
        <w:pStyle w:val="Compact"/>
      </w:pPr>
      <w:r>
        <w:t xml:space="preserve">расширенные версии добавляют архив, телемедицину, анестезиологию, инженерные сценарии;</w:t>
      </w:r>
    </w:p>
    <w:p>
      <w:pPr>
        <w:numPr>
          <w:ilvl w:val="0"/>
          <w:numId w:val="1020"/>
        </w:numPr>
        <w:pStyle w:val="Compact"/>
      </w:pPr>
      <w:r>
        <w:t xml:space="preserve">возможна адаптация под тип операционной и инфраструктуру клиники.</w:t>
      </w:r>
    </w:p>
    <w:bookmarkEnd w:id="61"/>
    <w:bookmarkStart w:id="62" w:name="формат-блока"/>
    <w:p>
      <w:pPr>
        <w:pStyle w:val="Heading3"/>
      </w:pPr>
      <w:r>
        <w:t xml:space="preserve">Формат блока</w:t>
      </w:r>
    </w:p>
    <w:p>
      <w:pPr>
        <w:pStyle w:val="FirstParagraph"/>
      </w:pPr>
      <w:r>
        <w:t xml:space="preserve">Рекомендуется сделать 3 колонки: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Базовая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Стандартная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Расширенная</w:t>
      </w:r>
    </w:p>
    <w:p>
      <w:pPr>
        <w:pStyle w:val="BodyText"/>
      </w:pPr>
      <w:r>
        <w:t xml:space="preserve">Или: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Локальная операционная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Интегрированная операционная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Экосистема операционного блока</w:t>
      </w:r>
    </w:p>
    <w:bookmarkEnd w:id="62"/>
    <w:bookmarkStart w:id="63" w:name="визуал-6"/>
    <w:p>
      <w:pPr>
        <w:pStyle w:val="Heading3"/>
      </w:pPr>
      <w:r>
        <w:t xml:space="preserve">Визуал</w:t>
      </w:r>
    </w:p>
    <w:p>
      <w:pPr>
        <w:numPr>
          <w:ilvl w:val="0"/>
          <w:numId w:val="1021"/>
        </w:numPr>
        <w:pStyle w:val="Compact"/>
      </w:pPr>
      <w:r>
        <w:t xml:space="preserve">таблица-модульная матрица;</w:t>
      </w:r>
    </w:p>
    <w:p>
      <w:pPr>
        <w:numPr>
          <w:ilvl w:val="0"/>
          <w:numId w:val="1021"/>
        </w:numPr>
        <w:pStyle w:val="Compact"/>
      </w:pPr>
      <w:r>
        <w:t xml:space="preserve">чек-маркеры;</w:t>
      </w:r>
    </w:p>
    <w:p>
      <w:pPr>
        <w:numPr>
          <w:ilvl w:val="0"/>
          <w:numId w:val="1021"/>
        </w:numPr>
        <w:pStyle w:val="Compact"/>
      </w:pPr>
      <w:r>
        <w:t xml:space="preserve">маленькие пиктограммы модулей.</w:t>
      </w:r>
    </w:p>
    <w:bookmarkEnd w:id="63"/>
    <w:bookmarkStart w:id="64" w:name="источники-6"/>
    <w:p>
      <w:pPr>
        <w:pStyle w:val="Heading3"/>
      </w:pPr>
      <w:r>
        <w:t xml:space="preserve">Источники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Техническое задание на разработку дизайна буклета АВМК (1).pdf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AVMK_Буклет_для_руководителей.pdf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Технический паспорт + Руководство (1).pdf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Xb7bf9d855950bd24d46faea5a9a6967fce19a92"/>
    <w:p>
      <w:pPr>
        <w:pStyle w:val="Heading2"/>
      </w:pPr>
      <w:r>
        <w:t xml:space="preserve">Полоса 8 — Технические характеристики и CTA</w:t>
      </w:r>
    </w:p>
    <w:bookmarkStart w:id="66" w:name="задача-7"/>
    <w:p>
      <w:pPr>
        <w:pStyle w:val="Heading3"/>
      </w:pPr>
      <w:r>
        <w:t xml:space="preserve">Задача</w:t>
      </w:r>
    </w:p>
    <w:p>
      <w:pPr>
        <w:pStyle w:val="FirstParagraph"/>
      </w:pPr>
      <w:r>
        <w:t xml:space="preserve">Завершить чтение, оставить подтверждаемые цифры и маршрут следующего контакта.</w:t>
      </w:r>
    </w:p>
    <w:bookmarkEnd w:id="66"/>
    <w:bookmarkStart w:id="67" w:name="заголовок-7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Ключевые характеристики системы</w:t>
      </w:r>
    </w:p>
    <w:bookmarkEnd w:id="67"/>
    <w:bookmarkStart w:id="68" w:name="состав"/>
    <w:p>
      <w:pPr>
        <w:pStyle w:val="Heading3"/>
      </w:pPr>
      <w:r>
        <w:t xml:space="preserve">Состав</w:t>
      </w:r>
    </w:p>
    <w:p>
      <w:pPr>
        <w:numPr>
          <w:ilvl w:val="0"/>
          <w:numId w:val="1023"/>
        </w:numPr>
        <w:pStyle w:val="Compact"/>
      </w:pPr>
      <w:r>
        <w:t xml:space="preserve">компактная таблица параметров;</w:t>
      </w:r>
    </w:p>
    <w:p>
      <w:pPr>
        <w:numPr>
          <w:ilvl w:val="0"/>
          <w:numId w:val="1023"/>
        </w:numPr>
        <w:pStyle w:val="Compact"/>
      </w:pPr>
      <w:r>
        <w:t xml:space="preserve">выноска «состав и функции зависят от комплектации»;</w:t>
      </w:r>
    </w:p>
    <w:p>
      <w:pPr>
        <w:numPr>
          <w:ilvl w:val="0"/>
          <w:numId w:val="1023"/>
        </w:numPr>
        <w:pStyle w:val="Compact"/>
      </w:pPr>
      <w:r>
        <w:t xml:space="preserve">QR-код на веб-презентацию / расширенный каталог;</w:t>
      </w:r>
    </w:p>
    <w:p>
      <w:pPr>
        <w:numPr>
          <w:ilvl w:val="0"/>
          <w:numId w:val="1023"/>
        </w:numPr>
        <w:pStyle w:val="Compact"/>
      </w:pPr>
      <w:r>
        <w:t xml:space="preserve">контакт для запроса демонстрации, презентации или ТКП.</w:t>
      </w:r>
    </w:p>
    <w:bookmarkEnd w:id="68"/>
    <w:bookmarkStart w:id="69" w:name="что-включить-в-таблицу"/>
    <w:p>
      <w:pPr>
        <w:pStyle w:val="Heading3"/>
      </w:pPr>
      <w:r>
        <w:t xml:space="preserve">Что включить в таблицу</w:t>
      </w:r>
    </w:p>
    <w:p>
      <w:pPr>
        <w:numPr>
          <w:ilvl w:val="0"/>
          <w:numId w:val="1024"/>
        </w:numPr>
        <w:pStyle w:val="Compact"/>
      </w:pPr>
      <w:r>
        <w:t xml:space="preserve">панели управления;</w:t>
      </w:r>
    </w:p>
    <w:p>
      <w:pPr>
        <w:numPr>
          <w:ilvl w:val="0"/>
          <w:numId w:val="1024"/>
        </w:numPr>
        <w:pStyle w:val="Compact"/>
      </w:pPr>
      <w:r>
        <w:t xml:space="preserve">разрешение и типы входов;</w:t>
      </w:r>
    </w:p>
    <w:p>
      <w:pPr>
        <w:numPr>
          <w:ilvl w:val="0"/>
          <w:numId w:val="1024"/>
        </w:numPr>
        <w:pStyle w:val="Compact"/>
      </w:pPr>
      <w:r>
        <w:t xml:space="preserve">режим работы;</w:t>
      </w:r>
    </w:p>
    <w:p>
      <w:pPr>
        <w:numPr>
          <w:ilvl w:val="0"/>
          <w:numId w:val="1024"/>
        </w:numPr>
        <w:pStyle w:val="Compact"/>
      </w:pPr>
      <w:r>
        <w:t xml:space="preserve">архив / хранилище;</w:t>
      </w:r>
    </w:p>
    <w:p>
      <w:pPr>
        <w:numPr>
          <w:ilvl w:val="0"/>
          <w:numId w:val="1024"/>
        </w:numPr>
        <w:pStyle w:val="Compact"/>
      </w:pPr>
      <w:r>
        <w:t xml:space="preserve">интеграции;</w:t>
      </w:r>
    </w:p>
    <w:p>
      <w:pPr>
        <w:numPr>
          <w:ilvl w:val="0"/>
          <w:numId w:val="1024"/>
        </w:numPr>
        <w:pStyle w:val="Compact"/>
      </w:pPr>
      <w:r>
        <w:t xml:space="preserve">гарантия.</w:t>
      </w:r>
    </w:p>
    <w:bookmarkEnd w:id="69"/>
    <w:bookmarkStart w:id="70" w:name="источники-7"/>
    <w:p>
      <w:pPr>
        <w:pStyle w:val="Heading3"/>
      </w:pPr>
      <w:r>
        <w:t xml:space="preserve">Источники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Технический паспорт + Руководство (1).pdf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АВМК_Брошюра_Интегрированная_операционная.pdf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общие-правила-для-всей-8-полосной-версии"/>
    <w:p>
      <w:pPr>
        <w:pStyle w:val="Heading2"/>
      </w:pPr>
      <w:r>
        <w:t xml:space="preserve">Общие правила для всей 8-полосной версии</w:t>
      </w:r>
    </w:p>
    <w:p>
      <w:pPr>
        <w:numPr>
          <w:ilvl w:val="0"/>
          <w:numId w:val="1026"/>
        </w:numPr>
        <w:pStyle w:val="Compact"/>
      </w:pPr>
      <w:r>
        <w:t xml:space="preserve">не перегружать одну полосу большим числом разнородных визуалов;</w:t>
      </w:r>
    </w:p>
    <w:p>
      <w:pPr>
        <w:numPr>
          <w:ilvl w:val="0"/>
          <w:numId w:val="1026"/>
        </w:numPr>
        <w:pStyle w:val="Compact"/>
      </w:pPr>
      <w:r>
        <w:t xml:space="preserve">на каждой полосе 1 главный акцент и 1 вторичный;</w:t>
      </w:r>
    </w:p>
    <w:p>
      <w:pPr>
        <w:numPr>
          <w:ilvl w:val="0"/>
          <w:numId w:val="1026"/>
        </w:numPr>
        <w:pStyle w:val="Compact"/>
      </w:pPr>
      <w:r>
        <w:t xml:space="preserve">не использовать стоковые улыбки и фронтальные счастливые портреты;</w:t>
      </w:r>
    </w:p>
    <w:p>
      <w:pPr>
        <w:numPr>
          <w:ilvl w:val="0"/>
          <w:numId w:val="1026"/>
        </w:numPr>
        <w:pStyle w:val="Compact"/>
      </w:pPr>
      <w:r>
        <w:t xml:space="preserve">сохранять холодный, собранный, госпитальный характер;</w:t>
      </w:r>
    </w:p>
    <w:p>
      <w:pPr>
        <w:numPr>
          <w:ilvl w:val="0"/>
          <w:numId w:val="1026"/>
        </w:numPr>
        <w:pStyle w:val="Compact"/>
      </w:pPr>
      <w:r>
        <w:t xml:space="preserve">при использовании фото люди должны быть вторичны относительно системы и интерфейсов;</w:t>
      </w:r>
    </w:p>
    <w:p>
      <w:pPr>
        <w:numPr>
          <w:ilvl w:val="0"/>
          <w:numId w:val="1026"/>
        </w:numPr>
        <w:pStyle w:val="Compact"/>
      </w:pPr>
      <w:r>
        <w:t xml:space="preserve">где возможно, использовать QR-код как мост в расширенную веб-презентацию.</w:t>
      </w:r>
    </w:p>
    <w:bookmarkEnd w:id="72"/>
    <w:bookmarkStart w:id="73" w:name="примечание"/>
    <w:p>
      <w:pPr>
        <w:pStyle w:val="Heading2"/>
      </w:pPr>
      <w:r>
        <w:t xml:space="preserve">Примечание</w:t>
      </w:r>
    </w:p>
    <w:p>
      <w:pPr>
        <w:pStyle w:val="FirstParagraph"/>
      </w:pPr>
      <w:r>
        <w:t xml:space="preserve">Эта структура специально собрана так, чтобы:</w:t>
      </w:r>
      <w:r>
        <w:t xml:space="preserve"> </w:t>
      </w:r>
      <w:r>
        <w:t xml:space="preserve">1. работать как самостоятельная выставочная брошюра;</w:t>
      </w:r>
      <w:r>
        <w:t xml:space="preserve"> </w:t>
      </w:r>
      <w:r>
        <w:t xml:space="preserve">2. легко расширяться до 15–20 полос без переделки логики;</w:t>
      </w:r>
      <w:r>
        <w:t xml:space="preserve"> </w:t>
      </w:r>
      <w:r>
        <w:t xml:space="preserve">3. не ломаться из-за разных комплектаций продукта.</w:t>
      </w:r>
    </w:p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2026-04-25T09:41:32Z</dcterms:created>
  <dcterms:modified xsi:type="dcterms:W3CDTF">2026-04-25T09:41:32Z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