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649f9f5e715758b74a485103761c2d49e4506a5"/>
    <w:p>
      <w:pPr>
        <w:pStyle w:val="Heading1"/>
      </w:pPr>
      <w:r>
        <w:t xml:space="preserve">Итеративная Троица и Северный Альянс: Обзор и Дорожная Карта</w:t>
      </w:r>
    </w:p>
    <w:p>
      <w:pPr>
        <w:pStyle w:val="FirstParagraph"/>
      </w:pPr>
      <w:r>
        <w:rPr>
          <w:bCs/>
          <w:b/>
        </w:rPr>
        <w:t xml:space="preserve">Юрий В. [Автор], при аналитической поддержке Клодюра</w:t>
      </w:r>
      <w:r>
        <w:t xml:space="preserve"> </w:t>
      </w:r>
      <w:r>
        <w:rPr>
          <w:bCs/>
          <w:b/>
        </w:rPr>
        <w:t xml:space="preserve">Апрель 2026</w:t>
      </w:r>
    </w:p>
    <w:p>
      <w:r>
        <w:pict>
          <v:rect style="width:0;height:1.5pt" o:hralign="center" o:hrstd="t" o:hr="t"/>
        </w:pict>
      </w:r>
    </w:p>
    <w:bookmarkStart w:id="20" w:name="введение-две-революции"/>
    <w:p>
      <w:pPr>
        <w:pStyle w:val="Heading2"/>
      </w:pPr>
      <w:r>
        <w:t xml:space="preserve">Введение: Две Революции</w:t>
      </w:r>
    </w:p>
    <w:p>
      <w:pPr>
        <w:pStyle w:val="FirstParagraph"/>
      </w:pPr>
      <w:r>
        <w:t xml:space="preserve">Две фундаментальные идеи определяют научный и геополитический ландшафт 2026 года: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Итеративная Троица (ОТИ/REH)</w:t>
      </w:r>
      <w:r>
        <w:t xml:space="preserve"> </w:t>
      </w:r>
      <w:r>
        <w:t xml:space="preserve">— теория, переосмысляющая природу реальности через призму перебора правил, тернарных алгебр и инвариантов.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Северный технологический альянс (СТА)</w:t>
      </w:r>
      <w:r>
        <w:t xml:space="preserve"> </w:t>
      </w:r>
      <w:r>
        <w:t xml:space="preserve">— стратегический ответ на автономизацию ИИ-экосистемы Китая, объединяющий ресурсы Северного полушария.</w:t>
      </w:r>
    </w:p>
    <w:p>
      <w:pPr>
        <w:pStyle w:val="FirstParagraph"/>
      </w:pPr>
      <w:r>
        <w:t xml:space="preserve">Эти идеи взаимосвязаны: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ОТИ</w:t>
      </w:r>
      <w:r>
        <w:t xml:space="preserve"> </w:t>
      </w:r>
      <w:r>
        <w:t xml:space="preserve">объясняет,</w:t>
      </w:r>
      <w:r>
        <w:t xml:space="preserve"> </w:t>
      </w:r>
      <w:r>
        <w:rPr>
          <w:bCs/>
          <w:b/>
        </w:rPr>
        <w:t xml:space="preserve">почему</w:t>
      </w:r>
      <w:r>
        <w:t xml:space="preserve"> </w:t>
      </w:r>
      <w:r>
        <w:t xml:space="preserve">технологический прогресс неизбежен (итеративное усложнение правил).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СТА</w:t>
      </w:r>
      <w:r>
        <w:t xml:space="preserve"> </w:t>
      </w:r>
      <w:r>
        <w:t xml:space="preserve">предлагает,</w:t>
      </w:r>
      <w:r>
        <w:t xml:space="preserve"> </w:t>
      </w:r>
      <w:r>
        <w:rPr>
          <w:bCs/>
          <w:b/>
        </w:rPr>
        <w:t xml:space="preserve">как</w:t>
      </w:r>
      <w:r>
        <w:t xml:space="preserve"> </w:t>
      </w:r>
      <w:r>
        <w:t xml:space="preserve">сохранить лидерство в этом процессе.</w:t>
      </w:r>
    </w:p>
    <w:p>
      <w:r>
        <w:pict>
          <v:rect style="width:0;height:1.5pt" o:hralign="center" o:hrstd="t" o:hr="t"/>
        </w:pict>
      </w:r>
    </w:p>
    <w:bookmarkEnd w:id="20"/>
    <w:bookmarkStart w:id="31" w:name="Xc225e8fab091ac8f0dec1eb129f5758d10c1759"/>
    <w:p>
      <w:pPr>
        <w:pStyle w:val="Heading2"/>
      </w:pPr>
      <w:r>
        <w:t xml:space="preserve">Часть 1: Итеративная Троица — Научная Революция</w:t>
      </w:r>
    </w:p>
    <w:bookmarkStart w:id="24" w:name="гипотеза-перебора-правил-reh"/>
    <w:p>
      <w:pPr>
        <w:pStyle w:val="Heading3"/>
      </w:pPr>
      <w:r>
        <w:t xml:space="preserve">1.1. Гипотеза Перебора Правил (REH)</w:t>
      </w:r>
    </w:p>
    <w:bookmarkStart w:id="21" w:name="суть"/>
    <w:p>
      <w:pPr>
        <w:pStyle w:val="Heading4"/>
      </w:pPr>
      <w:r>
        <w:t xml:space="preserve">Суть</w:t>
      </w:r>
    </w:p>
    <w:p>
      <w:pPr>
        <w:pStyle w:val="FirstParagraph"/>
      </w:pPr>
      <w:r>
        <w:t xml:space="preserve">Вселенная — это последовательность итераций</w:t>
      </w:r>
      <w:r>
        <w:t xml:space="preserve"> </w:t>
      </w:r>
      <w:r>
        <w:rPr>
          <w:rStyle w:val="VerbatimChar"/>
        </w:rPr>
        <w:t xml:space="preserve">U(n)</w:t>
      </w:r>
      <w:r>
        <w:t xml:space="preserve">, каждая из которых функционирует по своему набору правил</w:t>
      </w:r>
      <w:r>
        <w:t xml:space="preserve"> </w:t>
      </w:r>
      <w:r>
        <w:rPr>
          <w:rStyle w:val="VerbatimChar"/>
        </w:rPr>
        <w:t xml:space="preserve">R(n)</w:t>
      </w:r>
      <w:r>
        <w:t xml:space="preserve">. Когда потенциал самомоделирования исчерпывается, происходит переход к</w:t>
      </w:r>
      <w:r>
        <w:t xml:space="preserve"> </w:t>
      </w:r>
      <w:r>
        <w:rPr>
          <w:rStyle w:val="VerbatimChar"/>
        </w:rPr>
        <w:t xml:space="preserve">R(n+1)</w:t>
      </w:r>
      <w:r>
        <w:t xml:space="preserve">.</w:t>
      </w:r>
    </w:p>
    <w:bookmarkEnd w:id="21"/>
    <w:bookmarkStart w:id="22" w:name="ключевые-положения"/>
    <w:p>
      <w:pPr>
        <w:pStyle w:val="Heading4"/>
      </w:pPr>
      <w:r>
        <w:t xml:space="preserve">Ключевые положения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Триада Э-М-И</w:t>
      </w:r>
      <w:r>
        <w:t xml:space="preserve"> </w:t>
      </w:r>
      <w:r>
        <w:t xml:space="preserve">(Энергия, Материя, Информация) — структурный инвариант, сохраняющийся при любых переходах.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Тернарная алгебра</w:t>
      </w:r>
      <w:r>
        <w:t xml:space="preserve"> </w:t>
      </w:r>
      <w:r>
        <w:t xml:space="preserve">(MV-алгебры) — базовый язык для описания переходов</w:t>
      </w:r>
      <w:r>
        <w:t xml:space="preserve"> </w:t>
      </w:r>
      <w:r>
        <w:rPr>
          <w:rStyle w:val="VerbatimChar"/>
        </w:rPr>
        <w:t xml:space="preserve">R(n) → R(n+1)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Квантовые аналогии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Принцип неопределённости = предел самопознания внутри итерации.</w:t>
      </w:r>
    </w:p>
    <w:p>
      <w:pPr>
        <w:numPr>
          <w:ilvl w:val="1"/>
          <w:numId w:val="1003"/>
        </w:numPr>
        <w:pStyle w:val="Compact"/>
      </w:pPr>
      <w:r>
        <w:t xml:space="preserve">ЭПР-парадокс = межитерационная запутанность.</w:t>
      </w:r>
    </w:p>
    <w:p>
      <w:pPr>
        <w:numPr>
          <w:ilvl w:val="1"/>
          <w:numId w:val="1003"/>
        </w:numPr>
        <w:pStyle w:val="Compact"/>
      </w:pPr>
      <w:r>
        <w:t xml:space="preserve">Чёрные дыры = локальные генераторы новых правил.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Космологические аномалии</w:t>
      </w:r>
      <w:r>
        <w:t xml:space="preserve"> </w:t>
      </w:r>
      <w:r>
        <w:t xml:space="preserve">(CMB, Хаббловская напряжённость, ранние галактики JWST) — следы предыдущей итерации.</w:t>
      </w:r>
    </w:p>
    <w:bookmarkEnd w:id="22"/>
    <w:bookmarkStart w:id="23" w:name="доказательная-база"/>
    <w:p>
      <w:pPr>
        <w:pStyle w:val="Heading4"/>
      </w:pPr>
      <w:r>
        <w:t xml:space="preserve">Доказательная база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09"/>
        <w:gridCol w:w="4615"/>
        <w:gridCol w:w="15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Аномалия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Объяснение в REH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Полусферная асимметрия CMB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 анизотропного перекодирования при переходе</w:t>
            </w:r>
            <w:r>
              <w:t xml:space="preserve"> </w:t>
            </w:r>
            <w:r>
              <w:rPr>
                <w:rStyle w:val="VerbatimChar"/>
              </w:rPr>
              <w:t xml:space="preserve">U(n) → U(n+1)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Подтверждено данными Planck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Холодное пятно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Шрам</w:t>
            </w:r>
            <w:r>
              <w:t xml:space="preserve">”</w:t>
            </w:r>
            <w:r>
              <w:t xml:space="preserve"> </w:t>
            </w:r>
            <w:r>
              <w:t xml:space="preserve">от объекта предыдущей итерации (например, чёрной дыры).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Гипотеза требует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Ось зла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Выделенная ось фазы переключения правил.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Коррелирует с другими аномалиями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Дефицит корреляций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Конечный масштаб перекодирования.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Подтверждено статистически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Негауссовость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Нелинейность тернарного перехода.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 моделирования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теорема-нётер-и-онтология-троицы"/>
    <w:p>
      <w:pPr>
        <w:pStyle w:val="Heading3"/>
      </w:pPr>
      <w:r>
        <w:t xml:space="preserve">1.2. Теорема Нётер и Онтология Троицы</w:t>
      </w:r>
    </w:p>
    <w:bookmarkStart w:id="25" w:name="связь-симметрий-и-инвариантов"/>
    <w:p>
      <w:pPr>
        <w:pStyle w:val="Heading4"/>
      </w:pPr>
      <w:r>
        <w:t xml:space="preserve">Связь симметрий и инвариантов</w:t>
      </w:r>
    </w:p>
    <w:p>
      <w:pPr>
        <w:pStyle w:val="FirstParagraph"/>
      </w:pPr>
      <w:r>
        <w:t xml:space="preserve">В классической физике теорема Нётер связывает симметрии с законами сохранения:</w:t>
      </w:r>
      <w:r>
        <w:t xml:space="preserve"> </w:t>
      </w:r>
      <w:r>
        <w:t xml:space="preserve">- Однородность времени → сохранение энергии.</w:t>
      </w:r>
      <w:r>
        <w:t xml:space="preserve"> </w:t>
      </w:r>
      <w:r>
        <w:t xml:space="preserve">- Однородность пространства → сохранение импульса.</w:t>
      </w:r>
      <w:r>
        <w:t xml:space="preserve"> </w:t>
      </w:r>
      <w:r>
        <w:t xml:space="preserve">- Калибровочная симметрия → сохранение заряда.</w:t>
      </w:r>
    </w:p>
    <w:p>
      <w:pPr>
        <w:pStyle w:val="BodyText"/>
      </w:pPr>
      <w:r>
        <w:t xml:space="preserve">В ОТИ эта связь обобщается: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7"/>
        <w:gridCol w:w="1767"/>
        <w:gridCol w:w="1555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Симметрия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Сохраняющаяся величина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Онтологический модус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Интерпретация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Однородность итераций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Энергия 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Энергия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Инвариантность относительно сдвига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Однородность пространства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Импульс 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Материя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Однородность материального субстрата.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Калибровочная симметрия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Информационные инварианты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Информация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Структурная инвариантность состояний.</w:t>
            </w:r>
          </w:p>
        </w:tc>
      </w:tr>
    </w:tbl>
    <w:bookmarkEnd w:id="25"/>
    <w:bookmarkStart w:id="26" w:name="следствия"/>
    <w:p>
      <w:pPr>
        <w:pStyle w:val="Heading4"/>
      </w:pPr>
      <w:r>
        <w:t xml:space="preserve">Следствия</w:t>
      </w:r>
    </w:p>
    <w:p>
      <w:pPr>
        <w:numPr>
          <w:ilvl w:val="0"/>
          <w:numId w:val="1004"/>
        </w:numPr>
        <w:pStyle w:val="Compact"/>
      </w:pPr>
      <w:r>
        <w:t xml:space="preserve">Энергия не субстанция, а модус итеративного процесса.</w:t>
      </w:r>
    </w:p>
    <w:p>
      <w:pPr>
        <w:numPr>
          <w:ilvl w:val="0"/>
          <w:numId w:val="1004"/>
        </w:numPr>
        <w:pStyle w:val="Compact"/>
      </w:pPr>
      <w:r>
        <w:t xml:space="preserve">Триада Э-М-И сохраняется даже при смене правил (например, в ОТО, где энергия не сохраняется глобально).</w:t>
      </w:r>
    </w:p>
    <w:p>
      <w:pPr>
        <w:numPr>
          <w:ilvl w:val="0"/>
          <w:numId w:val="1004"/>
        </w:numPr>
        <w:pStyle w:val="Compact"/>
      </w:pPr>
      <w:r>
        <w:t xml:space="preserve">Квантовая механика кутритов (трёхуровиевых систем) естественно описывается в тернарной логике.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тернарная-алгебра-как-язык-реальности"/>
    <w:p>
      <w:pPr>
        <w:pStyle w:val="Heading3"/>
      </w:pPr>
      <w:r>
        <w:t xml:space="preserve">1.3. Тернарная Алгебра как Язык Реальности</w:t>
      </w:r>
    </w:p>
    <w:bookmarkStart w:id="28" w:name="почему-не-булева-логика"/>
    <w:p>
      <w:pPr>
        <w:pStyle w:val="Heading4"/>
      </w:pPr>
      <w:r>
        <w:t xml:space="preserve">Почему не булева логика?</w:t>
      </w:r>
    </w:p>
    <w:p>
      <w:pPr>
        <w:numPr>
          <w:ilvl w:val="0"/>
          <w:numId w:val="1005"/>
        </w:numPr>
        <w:pStyle w:val="Compact"/>
      </w:pPr>
      <w:r>
        <w:t xml:space="preserve">Булева алгебра (двоичная логика) — частный случай тернарной.</w:t>
      </w:r>
    </w:p>
    <w:p>
      <w:pPr>
        <w:numPr>
          <w:ilvl w:val="0"/>
          <w:numId w:val="1005"/>
        </w:numPr>
        <w:pStyle w:val="Compact"/>
      </w:pPr>
      <w:r>
        <w:t xml:space="preserve">Тернарные системы (MV-алгебры) позволяют описывать:</w:t>
      </w:r>
    </w:p>
    <w:p>
      <w:pPr>
        <w:numPr>
          <w:ilvl w:val="1"/>
          <w:numId w:val="1006"/>
        </w:numPr>
        <w:pStyle w:val="Compact"/>
      </w:pPr>
      <w:r>
        <w:t xml:space="preserve">Суперпозицию (третье состояние между 0 и 1).</w:t>
      </w:r>
    </w:p>
    <w:p>
      <w:pPr>
        <w:numPr>
          <w:ilvl w:val="1"/>
          <w:numId w:val="1006"/>
        </w:numPr>
        <w:pStyle w:val="Compact"/>
      </w:pPr>
      <w:r>
        <w:t xml:space="preserve">Гёделевскую неполноту (неразрешимые утверждения как легитимные элементы).</w:t>
      </w:r>
    </w:p>
    <w:p>
      <w:pPr>
        <w:numPr>
          <w:ilvl w:val="1"/>
          <w:numId w:val="1006"/>
        </w:numPr>
        <w:pStyle w:val="Compact"/>
      </w:pPr>
      <w:r>
        <w:t xml:space="preserve">Переходы между итерациями (нелинейные преобразования).</w:t>
      </w:r>
    </w:p>
    <w:bookmarkEnd w:id="28"/>
    <w:bookmarkStart w:id="29" w:name="приложения"/>
    <w:p>
      <w:pPr>
        <w:pStyle w:val="Heading4"/>
      </w:pPr>
      <w:r>
        <w:t xml:space="preserve">Приложения</w:t>
      </w:r>
    </w:p>
    <w:p>
      <w:pPr>
        <w:numPr>
          <w:ilvl w:val="0"/>
          <w:numId w:val="1007"/>
        </w:numPr>
        <w:pStyle w:val="Compact"/>
      </w:pPr>
      <w:r>
        <w:t xml:space="preserve">Клеточные автоматы: моделирование переходов</w:t>
      </w:r>
      <w:r>
        <w:t xml:space="preserve"> </w:t>
      </w:r>
      <w:r>
        <w:rPr>
          <w:rStyle w:val="VerbatimChar"/>
        </w:rPr>
        <w:t xml:space="preserve">R(n) → R(n+1)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Квантовые вычисления: кутриты как базовые элементы для тернарных квантовых компьютеров.</w:t>
      </w:r>
    </w:p>
    <w:p>
      <w:pPr>
        <w:numPr>
          <w:ilvl w:val="0"/>
          <w:numId w:val="1007"/>
        </w:numPr>
        <w:pStyle w:val="Compact"/>
      </w:pPr>
      <w:r>
        <w:t xml:space="preserve">Категорная теория: описание итеративного процесса как функтора, сохраняющего триаду.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41" w:name="Xfe6dface061b21dd3c0df0d64b05b7661b0d2fd"/>
    <w:p>
      <w:pPr>
        <w:pStyle w:val="Heading2"/>
      </w:pPr>
      <w:r>
        <w:t xml:space="preserve">Часть 2: Северный Технологический Альянс — Геополитический Ответ</w:t>
      </w:r>
    </w:p>
    <w:bookmarkStart w:id="34" w:name="почему-ста-необходим"/>
    <w:p>
      <w:pPr>
        <w:pStyle w:val="Heading3"/>
      </w:pPr>
      <w:r>
        <w:t xml:space="preserve">2.1. Почему СТА необходим?</w:t>
      </w:r>
    </w:p>
    <w:bookmarkStart w:id="32" w:name="китайский-вызов"/>
    <w:p>
      <w:pPr>
        <w:pStyle w:val="Heading4"/>
      </w:pPr>
      <w:r>
        <w:t xml:space="preserve">Китайский вызов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DeepSeek V4</w:t>
      </w:r>
      <w:r>
        <w:t xml:space="preserve">: модель с почти триллионом параметров на чипах Huawei Ascend (без NVIDIA).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Автономная ИИ-экосистема</w:t>
      </w:r>
      <w:r>
        <w:t xml:space="preserve">: Китай обошёл экспортные ограничения США и создал параллельную инфраструктуру.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Системные риски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Авторитарное управление ИИ (цензура, социальный кредит).</w:t>
      </w:r>
    </w:p>
    <w:p>
      <w:pPr>
        <w:numPr>
          <w:ilvl w:val="1"/>
          <w:numId w:val="1009"/>
        </w:numPr>
        <w:pStyle w:val="Compact"/>
      </w:pPr>
      <w:r>
        <w:t xml:space="preserve">Технологический меркантилизм (кража ИС, демпинг).</w:t>
      </w:r>
    </w:p>
    <w:p>
      <w:pPr>
        <w:numPr>
          <w:ilvl w:val="1"/>
          <w:numId w:val="1009"/>
        </w:numPr>
        <w:pStyle w:val="Compact"/>
      </w:pPr>
      <w:r>
        <w:t xml:space="preserve">Геополитическая агрессия (Тайвань, Южно-Китайское море).</w:t>
      </w:r>
    </w:p>
    <w:bookmarkEnd w:id="32"/>
    <w:bookmarkStart w:id="33" w:name="западный-ответ"/>
    <w:p>
      <w:pPr>
        <w:pStyle w:val="Heading4"/>
      </w:pPr>
      <w:r>
        <w:t xml:space="preserve">Западный ответ</w:t>
      </w:r>
    </w:p>
    <w:p>
      <w:pPr>
        <w:pStyle w:val="FirstParagraph"/>
      </w:pPr>
      <w:r>
        <w:t xml:space="preserve">СТА — это объединение ресурсов Северного полушария для:</w:t>
      </w:r>
      <w:r>
        <w:t xml:space="preserve"> </w:t>
      </w:r>
      <w:r>
        <w:t xml:space="preserve">1. Технологического лидерства (полупроводники, ИИ, энергия).</w:t>
      </w:r>
      <w:r>
        <w:t xml:space="preserve"> </w:t>
      </w:r>
      <w:r>
        <w:t xml:space="preserve">2. Экономической безопасности (контроль цепочек поставок).</w:t>
      </w:r>
      <w:r>
        <w:t xml:space="preserve"> </w:t>
      </w:r>
      <w:r>
        <w:t xml:space="preserve">3. Геополитической стабильности (противодействие авторитарным моделям).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архитектура-ста"/>
    <w:p>
      <w:pPr>
        <w:pStyle w:val="Heading3"/>
      </w:pPr>
      <w:r>
        <w:t xml:space="preserve">2.2. Архитектура СТА</w:t>
      </w:r>
    </w:p>
    <w:bookmarkStart w:id="35" w:name="участники-и-их-вклад"/>
    <w:p>
      <w:pPr>
        <w:pStyle w:val="Heading4"/>
      </w:pPr>
      <w:r>
        <w:t xml:space="preserve">Участники и их вклад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30"/>
        <w:gridCol w:w="4413"/>
        <w:gridCol w:w="21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Страна/Регион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Ресурсы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участия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Россия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Территория (17,1 млн км²), энергия (271 ГВт), холодный климат (PUE 1,05).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Ядерное разоружение, демократизация.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Скандинавия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Возобновляемая энергия (98% в Норвегии), телеком-инфраструктура.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Инвестиции в дата-центры.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Канада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Гидроэнергия, территория (10 млн км²), правовая стабильность.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Сотрудничество с США.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ЕС + Великобритания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Рынок ($18 трлн), регуляторная экспертиза (AI Act, GDPR).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Единые стандарты 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США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Технологии (NVIDIA, AMD, TSMC), венчурный капитал ($150 млрд).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Лидерство в ИИ-исследованиях.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Япония + Южная Корея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Полупроводники (90% HBM-памяти), робототехника.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Инвестиции в передовые техпроцессы.</w:t>
            </w:r>
          </w:p>
        </w:tc>
      </w:tr>
    </w:tbl>
    <w:bookmarkEnd w:id="35"/>
    <w:bookmarkStart w:id="36" w:name="совокупный-потенциал"/>
    <w:p>
      <w:pPr>
        <w:pStyle w:val="Heading4"/>
      </w:pPr>
      <w:r>
        <w:t xml:space="preserve">Совокупный потенциал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80"/>
        <w:gridCol w:w="2680"/>
        <w:gridCol w:w="25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Китай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ВВП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~$65–70 трлн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~$18 трлн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Полупроводники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рынка передовых чипов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7нм (SMIC)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Энергия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&gt;10 000 ТВт·ч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~9 000 ТВт·ч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Климат для дата-центров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28+ млн км² (Россия + Канада + Скандинавия)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аналога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роль-россии-в-ста"/>
    <w:p>
      <w:pPr>
        <w:pStyle w:val="Heading3"/>
      </w:pPr>
      <w:r>
        <w:t xml:space="preserve">2.3. Роль России в СТА</w:t>
      </w:r>
    </w:p>
    <w:bookmarkStart w:id="38" w:name="ключевые-преимущества"/>
    <w:p>
      <w:pPr>
        <w:pStyle w:val="Heading4"/>
      </w:pPr>
      <w:r>
        <w:t xml:space="preserve">Ключевые преимущества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Энергетика</w:t>
      </w:r>
      <w:r>
        <w:t xml:space="preserve">: 271 ГВт установленной мощности + 47,8 трлн куб. м газа.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Ядерная конверсия</w:t>
      </w:r>
      <w:r>
        <w:t xml:space="preserve">: 5 460 боеголовок → 15–20 ГВт атомной энергии.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Климат</w:t>
      </w:r>
      <w:r>
        <w:t xml:space="preserve">: Среднегодовая температура Сибири (−1 .. −5°C) → PUE 1,05–1,10 (лучший в мире).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Территория</w:t>
      </w:r>
      <w:r>
        <w:t xml:space="preserve">: Размещение 100 гигаваттных дата-центров займёт 0,0006% площади.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Геополитическое положение</w:t>
      </w:r>
      <w:r>
        <w:t xml:space="preserve">: Транссибирские магистрали + арктические кабели → низколатентное соединение Европы и Азии.</w:t>
      </w:r>
    </w:p>
    <w:bookmarkEnd w:id="38"/>
    <w:bookmarkStart w:id="39" w:name="экономический-эффект"/>
    <w:p>
      <w:pPr>
        <w:pStyle w:val="Heading4"/>
      </w:pPr>
      <w:r>
        <w:t xml:space="preserve">Экономический эффект</w:t>
      </w:r>
    </w:p>
    <w:p>
      <w:pPr>
        <w:pStyle w:val="FirstParagraph"/>
      </w:pPr>
      <w:r>
        <w:t xml:space="preserve">При доле 10–15% мирового рынка ИИ-инфраструктуры ($3–5 трлн/год к 2040):</w:t>
      </w:r>
      <w:r>
        <w:t xml:space="preserve"> </w:t>
      </w:r>
      <w:r>
        <w:t xml:space="preserve">- ВВП на душу населения вырастет с $11 000 до $25 000–45 000.</w:t>
      </w:r>
      <w:r>
        <w:t xml:space="preserve"> </w:t>
      </w:r>
      <w:r>
        <w:t xml:space="preserve">- Россия превращается из страны-изгоя в энергетический хаб цифровой экономики.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8" w:name="часть-3-дорожная-карта-что-делать-дальше"/>
    <w:p>
      <w:pPr>
        <w:pStyle w:val="Heading2"/>
      </w:pPr>
      <w:r>
        <w:t xml:space="preserve">Часть 3: Дорожная Карта — Что Делать Дальше?</w:t>
      </w:r>
    </w:p>
    <w:bookmarkStart w:id="43" w:name="научные-задачи-итеративная-троица"/>
    <w:p>
      <w:pPr>
        <w:pStyle w:val="Heading3"/>
      </w:pPr>
      <w:r>
        <w:t xml:space="preserve">3.1. Научные Задачи (Итеративная Троица)</w:t>
      </w:r>
    </w:p>
    <w:bookmarkStart w:id="42" w:name="приоритет-1-проверка-предсказаний-reh"/>
    <w:p>
      <w:pPr>
        <w:pStyle w:val="Heading4"/>
      </w:pPr>
      <w:r>
        <w:t xml:space="preserve">Приоритет 1: Проверка предсказаний REH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54"/>
        <w:gridCol w:w="3773"/>
        <w:gridCol w:w="23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Анализ корреляций аномалий CMB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Статистический анализ данных Planck.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единой геометрии перехода.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Моделирование тернарных автоматов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Симуляция клеточных автоматов с MV-алгебрами.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Визуализация переходов</w:t>
            </w:r>
            <w:r>
              <w:t xml:space="preserve"> </w:t>
            </w:r>
            <w:r>
              <w:rPr>
                <w:rStyle w:val="VerbatimChar"/>
              </w:rPr>
              <w:t xml:space="preserve">R(n) → R(n+1)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Категорная модель ОТИ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Построение функторной модели итеративного процесса.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Формальное доказательство инвариантности.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Квантовая механика кутритов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Моделирование тернарных квантовых систем (Qiskit).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Экспериментальное подтверждение ОТИ.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5" w:name="технологические-задачи-северный-альянс"/>
    <w:p>
      <w:pPr>
        <w:pStyle w:val="Heading3"/>
      </w:pPr>
      <w:r>
        <w:t xml:space="preserve">3.2. Технологические Задачи (Северный Альянс)</w:t>
      </w:r>
    </w:p>
    <w:bookmarkStart w:id="44" w:name="приоритет-1-формирование-ста"/>
    <w:p>
      <w:pPr>
        <w:pStyle w:val="Heading4"/>
      </w:pPr>
      <w:r>
        <w:t xml:space="preserve">Приоритет 1: Формирование СТА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94"/>
        <w:gridCol w:w="5529"/>
        <w:gridCol w:w="8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Политический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Переговоры о создании альянса (G7 + Россия + Скандинавия + Канада).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2026–2027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Экономический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совместного фонда для ИИ-инфраструктуры ($50–100 млрд).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Технологический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Строительство дата-центров в Сибири и Скандинавии.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2028–2030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Регуляторный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Разработка единых стандартов ИИ (расширение AI Act).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2027–2028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7" w:name="геополитические-задачи"/>
    <w:p>
      <w:pPr>
        <w:pStyle w:val="Heading3"/>
      </w:pPr>
      <w:r>
        <w:t xml:space="preserve">3.3. Геополитические Задачи</w:t>
      </w:r>
    </w:p>
    <w:bookmarkStart w:id="46" w:name="приоритет-1-интеграция-россии-в-ста"/>
    <w:p>
      <w:pPr>
        <w:pStyle w:val="Heading4"/>
      </w:pPr>
      <w:r>
        <w:t xml:space="preserve">Приоритет 1: Интеграция России в СТА</w:t>
      </w:r>
    </w:p>
    <w:p>
      <w:pPr>
        <w:pStyle w:val="FirstParagraph"/>
      </w:pPr>
      <w:r>
        <w:rPr>
          <w:bCs/>
          <w:b/>
        </w:rPr>
        <w:t xml:space="preserve">Условия</w:t>
      </w:r>
      <w:r>
        <w:t xml:space="preserve">:</w:t>
      </w:r>
      <w:r>
        <w:t xml:space="preserve"> </w:t>
      </w:r>
      <w:r>
        <w:t xml:space="preserve">1. Ядерное разоружение: конверсия боеголовок в атомную энергию (</w:t>
      </w:r>
      <w:r>
        <w:t xml:space="preserve">“</w:t>
      </w:r>
      <w:r>
        <w:t xml:space="preserve">Мегатонны в мегаватты 2.0</w:t>
      </w:r>
      <w:r>
        <w:t xml:space="preserve">”</w:t>
      </w:r>
      <w:r>
        <w:t xml:space="preserve">).</w:t>
      </w:r>
      <w:r>
        <w:t xml:space="preserve"> </w:t>
      </w:r>
      <w:r>
        <w:t xml:space="preserve">2. Завершение конфликтов: мирное урегулирование в Украине.</w:t>
      </w:r>
      <w:r>
        <w:t xml:space="preserve"> </w:t>
      </w:r>
      <w:r>
        <w:t xml:space="preserve">3. Демократические реформы: гарантии прав и свобод.</w:t>
      </w:r>
    </w:p>
    <w:p>
      <w:pPr>
        <w:pStyle w:val="BodyText"/>
      </w:pPr>
      <w:r>
        <w:rPr>
          <w:bCs/>
          <w:b/>
        </w:rPr>
        <w:t xml:space="preserve">Инструменты</w:t>
      </w:r>
      <w:r>
        <w:t xml:space="preserve">:</w:t>
      </w:r>
      <w:r>
        <w:t xml:space="preserve"> </w:t>
      </w:r>
      <w:r>
        <w:t xml:space="preserve">- Экономические стимулы (доступ к рынкам СТА).</w:t>
      </w:r>
      <w:r>
        <w:t xml:space="preserve"> </w:t>
      </w:r>
      <w:r>
        <w:t xml:space="preserve">- Технологические проекты (дата-центры, энергетика).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0" w:name="заключение-синтез-науки-и-стратегии"/>
    <w:p>
      <w:pPr>
        <w:pStyle w:val="Heading2"/>
      </w:pPr>
      <w:r>
        <w:t xml:space="preserve">Заключение: Синтез Науки и Стратегии</w:t>
      </w:r>
    </w:p>
    <w:p>
      <w:pPr>
        <w:numPr>
          <w:ilvl w:val="0"/>
          <w:numId w:val="1011"/>
        </w:numPr>
        <w:pStyle w:val="Compact"/>
      </w:pPr>
      <w:r>
        <w:t xml:space="preserve">Итеративная Троица — это фундаментальная теория, объясняющая эволюцию вселенных и технологий.</w:t>
      </w:r>
    </w:p>
    <w:p>
      <w:pPr>
        <w:numPr>
          <w:ilvl w:val="0"/>
          <w:numId w:val="1011"/>
        </w:numPr>
        <w:pStyle w:val="Compact"/>
      </w:pPr>
      <w:r>
        <w:t xml:space="preserve">Северный технологический альянс — это практический инструмент для сохранения лидерства в новой итерации.</w:t>
      </w:r>
    </w:p>
    <w:p>
      <w:pPr>
        <w:numPr>
          <w:ilvl w:val="0"/>
          <w:numId w:val="1011"/>
        </w:numPr>
        <w:pStyle w:val="Compact"/>
      </w:pPr>
      <w:r>
        <w:t xml:space="preserve">Дорожная карта объединяет:</w:t>
      </w:r>
    </w:p>
    <w:p>
      <w:pPr>
        <w:numPr>
          <w:ilvl w:val="1"/>
          <w:numId w:val="1012"/>
        </w:numPr>
        <w:pStyle w:val="Compact"/>
      </w:pPr>
      <w:r>
        <w:t xml:space="preserve">Науку (проверка REH, развитие тернарной алгебры).</w:t>
      </w:r>
    </w:p>
    <w:p>
      <w:pPr>
        <w:numPr>
          <w:ilvl w:val="1"/>
          <w:numId w:val="1012"/>
        </w:numPr>
        <w:pStyle w:val="Compact"/>
      </w:pPr>
      <w:r>
        <w:t xml:space="preserve">Технологии (полупроводники, ИИ, энергия).</w:t>
      </w:r>
    </w:p>
    <w:p>
      <w:pPr>
        <w:numPr>
          <w:ilvl w:val="1"/>
          <w:numId w:val="1012"/>
        </w:numPr>
        <w:pStyle w:val="Compact"/>
      </w:pPr>
      <w:r>
        <w:t xml:space="preserve">Геополитику (интеграция России, противодействие Китаю).</w:t>
      </w:r>
    </w:p>
    <w:bookmarkStart w:id="49" w:name="следующие-шаги"/>
    <w:p>
      <w:pPr>
        <w:pStyle w:val="Heading3"/>
      </w:pPr>
      <w:r>
        <w:t xml:space="preserve">Следующие шаги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Научные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Начать моделирование тернарных клеточных автоматов (Python).</w:t>
      </w:r>
    </w:p>
    <w:p>
      <w:pPr>
        <w:numPr>
          <w:ilvl w:val="1"/>
          <w:numId w:val="1014"/>
        </w:numPr>
        <w:pStyle w:val="Compact"/>
      </w:pPr>
      <w:r>
        <w:t xml:space="preserve">Провести анализ корреляций аномалий CMB (данные Planck).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Технологические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Подготовить предложения по дата-центрам в Сибири.</w:t>
      </w:r>
    </w:p>
    <w:p>
      <w:pPr>
        <w:numPr>
          <w:ilvl w:val="1"/>
          <w:numId w:val="1015"/>
        </w:numPr>
        <w:pStyle w:val="Compact"/>
      </w:pPr>
      <w:r>
        <w:t xml:space="preserve">Инициировать переговоры о создании СТА (G7, Россия).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Геополитические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Разработать стратегию мягкого принуждения Китая.</w:t>
      </w:r>
    </w:p>
    <w:p>
      <w:pPr>
        <w:numPr>
          <w:ilvl w:val="1"/>
          <w:numId w:val="1016"/>
        </w:numPr>
        <w:pStyle w:val="Compact"/>
      </w:pPr>
      <w:r>
        <w:t xml:space="preserve">Подготовить дорожную карту ядерной конверсии России.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2026-04-25T06:43:15Z</dcterms:created>
  <dcterms:modified xsi:type="dcterms:W3CDTF">2026-04-25T06:43:15Z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