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Exam-Readiness</w:t>
      </w:r>
      <w:r>
        <w:t xml:space="preserve"> </w:t>
      </w:r>
      <w:r>
        <w:t xml:space="preserve">Checklist</w:t>
      </w:r>
      <w:r>
        <w:t xml:space="preserve"> </w:t>
      </w:r>
      <w:r>
        <w:t xml:space="preserve">—</w:t>
      </w:r>
      <w:r>
        <w:t xml:space="preserve"> </w:t>
      </w:r>
      <w:r>
        <w:t xml:space="preserve">Operating</w:t>
      </w:r>
      <w:r>
        <w:t xml:space="preserve"> </w:t>
      </w:r>
      <w:r>
        <w:t xml:space="preserve">Systems</w:t>
      </w:r>
    </w:p>
    <w:p>
      <w:pPr>
        <w:pStyle w:val="FirstParagraph"/>
      </w:pPr>
      <w:r>
        <w:t xml:space="preserve">Tick each item only when you can do it</w:t>
      </w:r>
      <w:r>
        <w:t xml:space="preserve"> </w:t>
      </w:r>
      <w:r>
        <w:rPr>
          <w:bCs/>
          <w:b/>
        </w:rPr>
        <w:t xml:space="preserve">closed-book</w:t>
      </w:r>
      <w:r>
        <w:t xml:space="preserve">.</w:t>
      </w:r>
    </w:p>
    <w:bookmarkStart w:id="20" w:name="syllabus-and-resources"/>
    <w:p>
      <w:pPr>
        <w:pStyle w:val="Heading1"/>
      </w:pPr>
      <w:r>
        <w:t xml:space="preserve">Syllabus and resources</w:t>
      </w:r>
    </w:p>
    <w:p>
      <w:pPr>
        <w:numPr>
          <w:ilvl w:val="0"/>
          <w:numId w:val="1001"/>
        </w:numPr>
        <w:pStyle w:val="Compact"/>
      </w:pPr>
      <w:r>
        <w:t xml:space="preserve">☐ I have the official syllabus and know the weightage per unit</w:t>
      </w:r>
    </w:p>
    <w:p>
      <w:pPr>
        <w:numPr>
          <w:ilvl w:val="0"/>
          <w:numId w:val="1001"/>
        </w:numPr>
        <w:pStyle w:val="Compact"/>
      </w:pPr>
      <w:r>
        <w:t xml:space="preserve">☐ I have the textbook(s) and at least 2 past-year papers</w:t>
      </w:r>
    </w:p>
    <w:p>
      <w:pPr>
        <w:numPr>
          <w:ilvl w:val="0"/>
          <w:numId w:val="1001"/>
        </w:numPr>
        <w:pStyle w:val="Compact"/>
      </w:pPr>
      <w:r>
        <w:t xml:space="preserve">☐ I have a one-page formula/diagram sheet</w:t>
      </w:r>
    </w:p>
    <w:bookmarkEnd w:id="20"/>
    <w:bookmarkStart w:id="21" w:name="unit-1-processes-threads-scheduling"/>
    <w:p>
      <w:pPr>
        <w:pStyle w:val="Heading1"/>
      </w:pPr>
      <w:r>
        <w:t xml:space="preserve">Unit 1 — Processes, Threads, Scheduling</w:t>
      </w:r>
    </w:p>
    <w:p>
      <w:pPr>
        <w:numPr>
          <w:ilvl w:val="0"/>
          <w:numId w:val="1002"/>
        </w:numPr>
        <w:pStyle w:val="Compact"/>
      </w:pPr>
      <w:r>
        <w:t xml:space="preserve">☐ Draw the process state diagram and explain each transition</w:t>
      </w:r>
    </w:p>
    <w:p>
      <w:pPr>
        <w:numPr>
          <w:ilvl w:val="0"/>
          <w:numId w:val="1002"/>
        </w:numPr>
        <w:pStyle w:val="Compact"/>
      </w:pPr>
      <w:r>
        <w:t xml:space="preserve">☐ List PCB contents and explain a context switch</w:t>
      </w:r>
    </w:p>
    <w:p>
      <w:pPr>
        <w:numPr>
          <w:ilvl w:val="0"/>
          <w:numId w:val="1002"/>
        </w:numPr>
        <w:pStyle w:val="Compact"/>
      </w:pPr>
      <w:r>
        <w:t xml:space="preserve">☐ Compare process vs thread; user vs kernel threads</w:t>
      </w:r>
    </w:p>
    <w:p>
      <w:pPr>
        <w:numPr>
          <w:ilvl w:val="0"/>
          <w:numId w:val="1002"/>
        </w:numPr>
        <w:pStyle w:val="Compact"/>
      </w:pPr>
      <w:r>
        <w:t xml:space="preserve">☐ Solve FCFS, SJF, SRTF, Priority and Round Robin Gantt problems</w:t>
      </w:r>
    </w:p>
    <w:p>
      <w:pPr>
        <w:numPr>
          <w:ilvl w:val="0"/>
          <w:numId w:val="1002"/>
        </w:numPr>
        <w:pStyle w:val="Compact"/>
      </w:pPr>
      <w:r>
        <w:t xml:space="preserve">☐ Compute average waiting and turnaround time without errors</w:t>
      </w:r>
    </w:p>
    <w:bookmarkEnd w:id="21"/>
    <w:bookmarkStart w:id="22" w:name="unit-2-synchronisation-and-deadlocks"/>
    <w:p>
      <w:pPr>
        <w:pStyle w:val="Heading1"/>
      </w:pPr>
      <w:r>
        <w:t xml:space="preserve">Unit 2 — Synchronisation and Deadlocks</w:t>
      </w:r>
    </w:p>
    <w:p>
      <w:pPr>
        <w:numPr>
          <w:ilvl w:val="0"/>
          <w:numId w:val="1003"/>
        </w:numPr>
        <w:pStyle w:val="Compact"/>
      </w:pPr>
      <w:r>
        <w:t xml:space="preserve">☐ State the 3 critical-section requirements</w:t>
      </w:r>
    </w:p>
    <w:p>
      <w:pPr>
        <w:numPr>
          <w:ilvl w:val="0"/>
          <w:numId w:val="1003"/>
        </w:numPr>
        <w:pStyle w:val="Compact"/>
      </w:pPr>
      <w:r>
        <w:t xml:space="preserve">☐ Write semaphore solutions for producer–consumer and readers–writers</w:t>
      </w:r>
    </w:p>
    <w:p>
      <w:pPr>
        <w:numPr>
          <w:ilvl w:val="0"/>
          <w:numId w:val="1003"/>
        </w:numPr>
        <w:pStyle w:val="Compact"/>
      </w:pPr>
      <w:r>
        <w:t xml:space="preserve">☐ Explain the dining philosophers problem and one fix</w:t>
      </w:r>
    </w:p>
    <w:p>
      <w:pPr>
        <w:numPr>
          <w:ilvl w:val="0"/>
          <w:numId w:val="1003"/>
        </w:numPr>
        <w:pStyle w:val="Compact"/>
      </w:pPr>
      <w:r>
        <w:t xml:space="preserve">☐ State the 4 deadlock conditions and one prevention method for each</w:t>
      </w:r>
    </w:p>
    <w:p>
      <w:pPr>
        <w:numPr>
          <w:ilvl w:val="0"/>
          <w:numId w:val="1003"/>
        </w:numPr>
        <w:pStyle w:val="Compact"/>
      </w:pPr>
      <w:r>
        <w:t xml:space="preserve">☐ Solve a Banker’s algorithm safety problem</w:t>
      </w:r>
    </w:p>
    <w:bookmarkEnd w:id="22"/>
    <w:bookmarkStart w:id="23" w:name="unit-3-memory-management"/>
    <w:p>
      <w:pPr>
        <w:pStyle w:val="Heading1"/>
      </w:pPr>
      <w:r>
        <w:t xml:space="preserve">Unit 3 — Memory Management</w:t>
      </w:r>
    </w:p>
    <w:p>
      <w:pPr>
        <w:numPr>
          <w:ilvl w:val="0"/>
          <w:numId w:val="1004"/>
        </w:numPr>
        <w:pStyle w:val="Compact"/>
      </w:pPr>
      <w:r>
        <w:t xml:space="preserve">☐ Translate a logical address using a page table</w:t>
      </w:r>
    </w:p>
    <w:p>
      <w:pPr>
        <w:numPr>
          <w:ilvl w:val="0"/>
          <w:numId w:val="1004"/>
        </w:numPr>
        <w:pStyle w:val="Compact"/>
      </w:pPr>
      <w:r>
        <w:t xml:space="preserve">☐ Calculate page-table size and number of bits for page/offset</w:t>
      </w:r>
    </w:p>
    <w:p>
      <w:pPr>
        <w:numPr>
          <w:ilvl w:val="0"/>
          <w:numId w:val="1004"/>
        </w:numPr>
        <w:pStyle w:val="Compact"/>
      </w:pPr>
      <w:r>
        <w:t xml:space="preserve">☐ Compute effective access time with TLB and with page faults</w:t>
      </w:r>
    </w:p>
    <w:p>
      <w:pPr>
        <w:numPr>
          <w:ilvl w:val="0"/>
          <w:numId w:val="1004"/>
        </w:numPr>
        <w:pStyle w:val="Compact"/>
      </w:pPr>
      <w:r>
        <w:t xml:space="preserve">☐ Run FIFO, LRU and OPT on a reference string</w:t>
      </w:r>
    </w:p>
    <w:p>
      <w:pPr>
        <w:numPr>
          <w:ilvl w:val="0"/>
          <w:numId w:val="1004"/>
        </w:numPr>
        <w:pStyle w:val="Compact"/>
      </w:pPr>
      <w:r>
        <w:t xml:space="preserve">☐ Explain Belady’s anomaly and thrashing</w:t>
      </w:r>
    </w:p>
    <w:bookmarkEnd w:id="23"/>
    <w:bookmarkStart w:id="24" w:name="unit-4-storage-and-file-systems"/>
    <w:p>
      <w:pPr>
        <w:pStyle w:val="Heading1"/>
      </w:pPr>
      <w:r>
        <w:t xml:space="preserve">Unit 4 — Storage and File Systems</w:t>
      </w:r>
    </w:p>
    <w:p>
      <w:pPr>
        <w:numPr>
          <w:ilvl w:val="0"/>
          <w:numId w:val="1005"/>
        </w:numPr>
        <w:pStyle w:val="Compact"/>
      </w:pPr>
      <w:r>
        <w:t xml:space="preserve">☐ Compute head movement for FCFS, SSTF, SCAN, C-SCAN, LOOK</w:t>
      </w:r>
    </w:p>
    <w:p>
      <w:pPr>
        <w:numPr>
          <w:ilvl w:val="0"/>
          <w:numId w:val="1005"/>
        </w:numPr>
        <w:pStyle w:val="Compact"/>
      </w:pPr>
      <w:r>
        <w:t xml:space="preserve">☐ Compare contiguous, linked, indexed allocation</w:t>
      </w:r>
    </w:p>
    <w:p>
      <w:pPr>
        <w:numPr>
          <w:ilvl w:val="0"/>
          <w:numId w:val="1005"/>
        </w:numPr>
        <w:pStyle w:val="Compact"/>
      </w:pPr>
      <w:r>
        <w:t xml:space="preserve">☐ Explain inode structure and hard vs soft links</w:t>
      </w:r>
    </w:p>
    <w:p>
      <w:pPr>
        <w:numPr>
          <w:ilvl w:val="0"/>
          <w:numId w:val="1005"/>
        </w:numPr>
        <w:pStyle w:val="Compact"/>
      </w:pPr>
      <w:r>
        <w:t xml:space="preserve">☐ Compare RAID levels 0, 1, 5</w:t>
      </w:r>
    </w:p>
    <w:bookmarkEnd w:id="24"/>
    <w:bookmarkStart w:id="25" w:name="unit-5-io-protection-security"/>
    <w:p>
      <w:pPr>
        <w:pStyle w:val="Heading1"/>
      </w:pPr>
      <w:r>
        <w:t xml:space="preserve">Unit 5 — I/O, Protection, Security</w:t>
      </w:r>
    </w:p>
    <w:p>
      <w:pPr>
        <w:numPr>
          <w:ilvl w:val="0"/>
          <w:numId w:val="1006"/>
        </w:numPr>
        <w:pStyle w:val="Compact"/>
      </w:pPr>
      <w:r>
        <w:t xml:space="preserve">☐ Compare polling, interrupt-driven I/O, DMA</w:t>
      </w:r>
    </w:p>
    <w:p>
      <w:pPr>
        <w:numPr>
          <w:ilvl w:val="0"/>
          <w:numId w:val="1006"/>
        </w:numPr>
        <w:pStyle w:val="Compact"/>
      </w:pPr>
      <w:r>
        <w:t xml:space="preserve">☐ Explain dual-mode operation and system calls</w:t>
      </w:r>
    </w:p>
    <w:p>
      <w:pPr>
        <w:numPr>
          <w:ilvl w:val="0"/>
          <w:numId w:val="1006"/>
        </w:numPr>
        <w:pStyle w:val="Compact"/>
      </w:pPr>
      <w:r>
        <w:t xml:space="preserve">☐ Explain access matrix, ACL and capability list</w:t>
      </w:r>
    </w:p>
    <w:p>
      <w:pPr>
        <w:numPr>
          <w:ilvl w:val="0"/>
          <w:numId w:val="1006"/>
        </w:numPr>
        <w:pStyle w:val="Compact"/>
      </w:pPr>
      <w:r>
        <w:t xml:space="preserve">☐ Explain buffer overflow and two mitigations</w:t>
      </w:r>
    </w:p>
    <w:bookmarkEnd w:id="25"/>
    <w:bookmarkStart w:id="26" w:name="practice-and-verification"/>
    <w:p>
      <w:pPr>
        <w:pStyle w:val="Heading1"/>
      </w:pPr>
      <w:r>
        <w:t xml:space="preserve">Practice and verification</w:t>
      </w:r>
    </w:p>
    <w:p>
      <w:pPr>
        <w:numPr>
          <w:ilvl w:val="0"/>
          <w:numId w:val="1007"/>
        </w:numPr>
        <w:pStyle w:val="Compact"/>
      </w:pPr>
      <w:r>
        <w:t xml:space="preserve">☐ 40 flashcards reviewed at least 3 times</w:t>
      </w:r>
    </w:p>
    <w:p>
      <w:pPr>
        <w:numPr>
          <w:ilvl w:val="0"/>
          <w:numId w:val="1007"/>
        </w:numPr>
        <w:pStyle w:val="Compact"/>
      </w:pPr>
      <w:r>
        <w:t xml:space="preserve">☐ 20 practice questions attempted, errors logged</w:t>
      </w:r>
    </w:p>
    <w:p>
      <w:pPr>
        <w:numPr>
          <w:ilvl w:val="0"/>
          <w:numId w:val="1007"/>
        </w:numPr>
        <w:pStyle w:val="Compact"/>
      </w:pPr>
      <w:r>
        <w:t xml:space="preserve">☐ 15-question quiz scored at least 80%</w:t>
      </w:r>
    </w:p>
    <w:p>
      <w:pPr>
        <w:numPr>
          <w:ilvl w:val="0"/>
          <w:numId w:val="1007"/>
        </w:numPr>
        <w:pStyle w:val="Compact"/>
      </w:pPr>
      <w:r>
        <w:t xml:space="preserve">☐ 2 timed past-year papers completed</w:t>
      </w:r>
    </w:p>
    <w:p>
      <w:pPr>
        <w:numPr>
          <w:ilvl w:val="0"/>
          <w:numId w:val="1007"/>
        </w:numPr>
        <w:pStyle w:val="Compact"/>
      </w:pPr>
      <w:r>
        <w:t xml:space="preserve">☐ Every AI-generated answer I rely on is checked against a textbook</w:t>
      </w:r>
    </w:p>
    <w:bookmarkEnd w:id="26"/>
    <w:bookmarkStart w:id="27" w:name="logistics-and-wellbeing"/>
    <w:p>
      <w:pPr>
        <w:pStyle w:val="Heading1"/>
      </w:pPr>
      <w:r>
        <w:t xml:space="preserve">Logistics and wellbeing</w:t>
      </w:r>
    </w:p>
    <w:p>
      <w:pPr>
        <w:numPr>
          <w:ilvl w:val="0"/>
          <w:numId w:val="1008"/>
        </w:numPr>
        <w:pStyle w:val="Compact"/>
      </w:pPr>
      <w:r>
        <w:t xml:space="preserve">☐ Exam date, time, venue and permitted items confirmed</w:t>
      </w:r>
    </w:p>
    <w:p>
      <w:pPr>
        <w:numPr>
          <w:ilvl w:val="0"/>
          <w:numId w:val="1008"/>
        </w:numPr>
        <w:pStyle w:val="Compact"/>
      </w:pPr>
      <w:r>
        <w:t xml:space="preserve">☐ Sleep schedule fixed for the last 3 nights</w:t>
      </w:r>
    </w:p>
    <w:p>
      <w:pPr>
        <w:numPr>
          <w:ilvl w:val="0"/>
          <w:numId w:val="1008"/>
        </w:numPr>
        <w:pStyle w:val="Compact"/>
      </w:pPr>
      <w:r>
        <w:t xml:space="preserve">☐ Night-before plan: light review only, no new topics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Exam-Readiness Checklist — Operating Systems</dc:title>
  <dc:creator/>
  <cp:keywords/>
  <dcterms:created xsi:type="dcterms:W3CDTF">2026-10-27T08:00:42Z</dcterms:created>
  <dcterms:modified xsi:type="dcterms:W3CDTF">2026-10-27T08:00:42Z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