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A2B2" w14:textId="77777777" w:rsidR="00796432" w:rsidRPr="00796432" w:rsidRDefault="00796432" w:rsidP="00796432">
      <w:pPr>
        <w:rPr>
          <w:b/>
          <w:bCs/>
          <w:sz w:val="40"/>
          <w:szCs w:val="40"/>
        </w:rPr>
      </w:pPr>
      <w:r w:rsidRPr="00796432">
        <w:rPr>
          <w:b/>
          <w:bCs/>
          <w:sz w:val="40"/>
          <w:szCs w:val="40"/>
        </w:rPr>
        <w:t>Stock Market Analysis – TCS (Executive Summary)</w:t>
      </w:r>
    </w:p>
    <w:p w14:paraId="06888FF0" w14:textId="0D2B9CE9" w:rsidR="00796432" w:rsidRPr="00796432" w:rsidRDefault="00796432" w:rsidP="00796432">
      <w:pPr>
        <w:rPr>
          <w:sz w:val="28"/>
          <w:szCs w:val="28"/>
        </w:rPr>
      </w:pPr>
      <w:r w:rsidRPr="00796432">
        <w:rPr>
          <w:sz w:val="28"/>
          <w:szCs w:val="28"/>
        </w:rPr>
        <w:t xml:space="preserve">This project </w:t>
      </w:r>
      <w:r w:rsidRPr="00796432">
        <w:rPr>
          <w:sz w:val="28"/>
          <w:szCs w:val="28"/>
        </w:rPr>
        <w:t>analyses</w:t>
      </w:r>
      <w:r w:rsidRPr="00796432">
        <w:rPr>
          <w:sz w:val="28"/>
          <w:szCs w:val="28"/>
        </w:rPr>
        <w:t xml:space="preserve"> the financial performance of Tata Consultancy Services (TCS) over a five-year period (2021–2025) using financial data sourced from Moneycontrol. The objective was to evaluate the company’s growth, profitability, and financial stability through data analysis and visualization techniques.</w:t>
      </w:r>
    </w:p>
    <w:p w14:paraId="400694AC" w14:textId="77777777" w:rsidR="00796432" w:rsidRPr="00796432" w:rsidRDefault="00796432" w:rsidP="00796432">
      <w:pPr>
        <w:rPr>
          <w:sz w:val="28"/>
          <w:szCs w:val="28"/>
        </w:rPr>
      </w:pPr>
      <w:r w:rsidRPr="00796432">
        <w:rPr>
          <w:sz w:val="28"/>
          <w:szCs w:val="28"/>
        </w:rPr>
        <w:t>The dataset was cleaned and structured using Microsoft Excel, followed by the calculation of key financial metrics such as Revenue Growth, Profit Margin, Return on Equity (ROE), Current Ratio, and Debt-to-Equity Ratio. These metrics provided insights into the company’s operational efficiency and financial health.</w:t>
      </w:r>
    </w:p>
    <w:p w14:paraId="578263F3" w14:textId="77777777" w:rsidR="00796432" w:rsidRPr="00796432" w:rsidRDefault="00796432" w:rsidP="00796432">
      <w:pPr>
        <w:rPr>
          <w:sz w:val="28"/>
          <w:szCs w:val="28"/>
        </w:rPr>
      </w:pPr>
      <w:r w:rsidRPr="00796432">
        <w:rPr>
          <w:sz w:val="28"/>
          <w:szCs w:val="28"/>
        </w:rPr>
        <w:t>The analysis revealed that TCS has demonstrated consistent revenue growth over the years, although the growth rate has slightly slowed in recent periods. Profit margins remained stable at around 18–19%, indicating strong cost management and operational efficiency. The company’s high ROE (above 50%) reflects effective utilization of shareholder equity.</w:t>
      </w:r>
    </w:p>
    <w:p w14:paraId="40413679" w14:textId="77777777" w:rsidR="00796432" w:rsidRPr="00796432" w:rsidRDefault="00796432" w:rsidP="00796432">
      <w:pPr>
        <w:rPr>
          <w:sz w:val="28"/>
          <w:szCs w:val="28"/>
        </w:rPr>
      </w:pPr>
      <w:r w:rsidRPr="00796432">
        <w:rPr>
          <w:sz w:val="28"/>
          <w:szCs w:val="28"/>
        </w:rPr>
        <w:t>Furthermore, TCS maintains a strong financial position with zero debt, indicating low financial risk and high solvency. The current ratio consistently above 2 highlights strong liquidity and the ability to meet short-term obligations.</w:t>
      </w:r>
    </w:p>
    <w:p w14:paraId="20D38797" w14:textId="77777777" w:rsidR="00796432" w:rsidRPr="00796432" w:rsidRDefault="00796432" w:rsidP="00796432">
      <w:pPr>
        <w:rPr>
          <w:sz w:val="28"/>
          <w:szCs w:val="28"/>
        </w:rPr>
      </w:pPr>
      <w:r w:rsidRPr="00796432">
        <w:rPr>
          <w:sz w:val="28"/>
          <w:szCs w:val="28"/>
        </w:rPr>
        <w:t>Data visualizations and dashboards were created using Power BI to present trends and key performance indicators in a clear and interactive manner. Correlation analysis indicated a strong positive relationship between revenue and net profit, suggesting that growth in revenue directly contributes to increased profitability.</w:t>
      </w:r>
    </w:p>
    <w:p w14:paraId="6E057834" w14:textId="77777777" w:rsidR="00796432" w:rsidRPr="00796432" w:rsidRDefault="00796432" w:rsidP="00796432">
      <w:pPr>
        <w:rPr>
          <w:sz w:val="28"/>
          <w:szCs w:val="28"/>
        </w:rPr>
      </w:pPr>
      <w:r w:rsidRPr="00796432">
        <w:rPr>
          <w:sz w:val="28"/>
          <w:szCs w:val="28"/>
        </w:rPr>
        <w:t>Overall, the findings suggest that TCS is a financially stable and well-performing company with strong fundamentals. From an investment perspective, the company appears to be a reliable option due to its consistent growth, profitability, and low risk profile.</w:t>
      </w:r>
    </w:p>
    <w:p w14:paraId="3052F7C0" w14:textId="77777777" w:rsidR="009E74EA" w:rsidRDefault="009E74EA"/>
    <w:sectPr w:rsidR="009E7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432"/>
    <w:rsid w:val="00340E49"/>
    <w:rsid w:val="00643FFF"/>
    <w:rsid w:val="00796432"/>
    <w:rsid w:val="009E74EA"/>
    <w:rsid w:val="00C73621"/>
    <w:rsid w:val="00F23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C979"/>
  <w15:chartTrackingRefBased/>
  <w15:docId w15:val="{687D3FC3-5001-4457-B0EB-47D2A65E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432"/>
    <w:rPr>
      <w:rFonts w:eastAsiaTheme="majorEastAsia" w:cstheme="majorBidi"/>
      <w:color w:val="272727" w:themeColor="text1" w:themeTint="D8"/>
    </w:rPr>
  </w:style>
  <w:style w:type="paragraph" w:styleId="Title">
    <w:name w:val="Title"/>
    <w:basedOn w:val="Normal"/>
    <w:next w:val="Normal"/>
    <w:link w:val="TitleChar"/>
    <w:uiPriority w:val="10"/>
    <w:qFormat/>
    <w:rsid w:val="00796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432"/>
    <w:pPr>
      <w:spacing w:before="160"/>
      <w:jc w:val="center"/>
    </w:pPr>
    <w:rPr>
      <w:i/>
      <w:iCs/>
      <w:color w:val="404040" w:themeColor="text1" w:themeTint="BF"/>
    </w:rPr>
  </w:style>
  <w:style w:type="character" w:customStyle="1" w:styleId="QuoteChar">
    <w:name w:val="Quote Char"/>
    <w:basedOn w:val="DefaultParagraphFont"/>
    <w:link w:val="Quote"/>
    <w:uiPriority w:val="29"/>
    <w:rsid w:val="00796432"/>
    <w:rPr>
      <w:i/>
      <w:iCs/>
      <w:color w:val="404040" w:themeColor="text1" w:themeTint="BF"/>
    </w:rPr>
  </w:style>
  <w:style w:type="paragraph" w:styleId="ListParagraph">
    <w:name w:val="List Paragraph"/>
    <w:basedOn w:val="Normal"/>
    <w:uiPriority w:val="34"/>
    <w:qFormat/>
    <w:rsid w:val="00796432"/>
    <w:pPr>
      <w:ind w:left="720"/>
      <w:contextualSpacing/>
    </w:pPr>
  </w:style>
  <w:style w:type="character" w:styleId="IntenseEmphasis">
    <w:name w:val="Intense Emphasis"/>
    <w:basedOn w:val="DefaultParagraphFont"/>
    <w:uiPriority w:val="21"/>
    <w:qFormat/>
    <w:rsid w:val="00796432"/>
    <w:rPr>
      <w:i/>
      <w:iCs/>
      <w:color w:val="0F4761" w:themeColor="accent1" w:themeShade="BF"/>
    </w:rPr>
  </w:style>
  <w:style w:type="paragraph" w:styleId="IntenseQuote">
    <w:name w:val="Intense Quote"/>
    <w:basedOn w:val="Normal"/>
    <w:next w:val="Normal"/>
    <w:link w:val="IntenseQuoteChar"/>
    <w:uiPriority w:val="30"/>
    <w:qFormat/>
    <w:rsid w:val="0079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432"/>
    <w:rPr>
      <w:i/>
      <w:iCs/>
      <w:color w:val="0F4761" w:themeColor="accent1" w:themeShade="BF"/>
    </w:rPr>
  </w:style>
  <w:style w:type="character" w:styleId="IntenseReference">
    <w:name w:val="Intense Reference"/>
    <w:basedOn w:val="DefaultParagraphFont"/>
    <w:uiPriority w:val="32"/>
    <w:qFormat/>
    <w:rsid w:val="00796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256</Words>
  <Characters>1591</Characters>
  <Application>Microsoft Office Word</Application>
  <DocSecurity>0</DocSecurity>
  <Lines>23</Lines>
  <Paragraphs>8</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Yashit Mittal</dc:creator>
  <cp:keywords/>
  <dc:description/>
  <cp:lastModifiedBy>Yashit Mittal</cp:lastModifiedBy>
  <cp:revision>1</cp:revision>
  <dcterms:created xsi:type="dcterms:W3CDTF">2026-03-28T18:31:00Z</dcterms:created>
  <dcterms:modified xsi:type="dcterms:W3CDTF">2026-03-28T18:35:00Z</dcterms:modified>
</cp:coreProperties>
</file>