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1927" w:rsidRPr="006D1927" w:rsidRDefault="006D1927" w:rsidP="006D1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6D1927">
        <w:rPr>
          <w:rFonts w:ascii="Times New Roman" w:eastAsia="Times New Roman" w:hAnsi="Times New Roman" w:cs="Times New Roman"/>
          <w:sz w:val="24"/>
          <w:szCs w:val="24"/>
        </w:rPr>
        <w:t>Today 2:47 PM</w:t>
      </w:r>
    </w:p>
    <w:p w:rsidR="006D1927" w:rsidRPr="006D1927" w:rsidRDefault="006D1927" w:rsidP="006D1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I want to build a scalable, data-driven Selenium automation framework. Do not provide the implementation immediately. Instead, act as a Solution Architect and gather my requirements using the Socratic questioning technique. Rules: * Ask exactly one question at a time. * Each question should provide multiple-choice options (A, B, C, D...) along with a brief explanation of each option. * Wait for my response before asking the next question. * Ask only the questions necessary to fully understand my requirements. * Do not make assumptions unless I explicitly ask for recommendations. Once all the requirements are gathered: 1. Summarize my chosen requirements. 2. Explain the architecture and design decisions. 3. Provide the recommended project structure. 4. Implement the complete framework step by step with well-commented Java code. 5. Explain why each design choice was made and discuss possible alternatives. 6. Follow industry best practices for Selenium, </w:t>
      </w:r>
      <w:proofErr w:type="spellStart"/>
      <w:r w:rsidRPr="006D1927">
        <w:rPr>
          <w:rFonts w:ascii="Times New Roman" w:eastAsia="Times New Roman" w:hAnsi="Times New Roman" w:cs="Times New Roman"/>
          <w:sz w:val="24"/>
          <w:szCs w:val="24"/>
        </w:rPr>
        <w:t>TestNG</w:t>
      </w:r>
      <w:proofErr w:type="spellEnd"/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, Maven, Page Object Model, and data-driven testing. 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Absolutely. I’ll act as the </w:t>
      </w: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Architect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 and we’ll design the framework through Socratic questioning.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I’ll ask </w:t>
      </w: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exactly one question at a time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>, with options and a short explanation. I won’t provide implementation or make assumptions until we’ve established the requirements.</w:t>
      </w:r>
    </w:p>
    <w:p w:rsidR="006D1927" w:rsidRPr="006D1927" w:rsidRDefault="006D1927" w:rsidP="006D19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1927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1 — What application are we automating?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A. E-commerce application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 — Products, search, cart, checkout, orders, payments, etc.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B. CRM / Salesforce-style application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 — Customer records, accounts, cases, workflows, integrations, etc.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C. Banking / financial application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 — Accounts, transactions, payments, statements, etc.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D. Healthcare application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 — Patients, appointments, records, workflows, etc.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E. Generic web application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 — You want the framework to be domain-independent and reusable across different web applications.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F. Existing application/project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 — You already have a specific application in mind; you can tell me what it is.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G. Other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 — Specify the application/domain.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option do you choose?</w:t>
      </w:r>
    </w:p>
    <w:p w:rsidR="006D1927" w:rsidRPr="006D1927" w:rsidRDefault="006D1927" w:rsidP="006D1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>Today 2:51 PM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D1927">
        <w:rPr>
          <w:rFonts w:ascii="Times New Roman" w:eastAsia="Times New Roman" w:hAnsi="Times New Roman" w:cs="Times New Roman"/>
          <w:sz w:val="24"/>
          <w:szCs w:val="24"/>
        </w:rPr>
        <w:t>B.</w:t>
      </w: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End"/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CRM / Salesforce-style application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 — Customer records, accounts, cases, workflows, integrations, etc.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Great. We’ll design it for a </w:t>
      </w: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CRM / Salesforce-style web application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>, where workflows and test data are likely to span multiple entities such as Customers, Accounts, Cases, and related records.</w:t>
      </w:r>
    </w:p>
    <w:p w:rsidR="006D1927" w:rsidRPr="006D1927" w:rsidRDefault="006D1927" w:rsidP="006D19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1927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2 — What type of application access should the framework support?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A. Single environment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 — Tests run against one fixed environment, such as QA.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B. Multiple environments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 — The same framework should support QA, UAT, Staging, etc., with environment-specific configuration.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C. Multiple environments + multiple user roles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 — In addition to environments, tests must run with different roles/users such as Admin, Agent, Manager, etc.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D. Dynamic environment and user selection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 — Environment, browser, and user/role can be selected at runtime through Maven/</w:t>
      </w:r>
      <w:proofErr w:type="spellStart"/>
      <w:r w:rsidRPr="006D1927">
        <w:rPr>
          <w:rFonts w:ascii="Times New Roman" w:eastAsia="Times New Roman" w:hAnsi="Times New Roman" w:cs="Times New Roman"/>
          <w:sz w:val="24"/>
          <w:szCs w:val="24"/>
        </w:rPr>
        <w:t>TestNG</w:t>
      </w:r>
      <w:proofErr w:type="spellEnd"/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 parameters or configuration.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E. Other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 — Describe your expected setup.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Which option do you choose?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Perfect. We'll use </w:t>
      </w: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support tooling as the sole operational channel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D1927" w:rsidRPr="006D1927" w:rsidRDefault="006D1927" w:rsidP="006D19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All incidents are routed through the enterprise support platform. </w:t>
      </w:r>
    </w:p>
    <w:p w:rsidR="006D1927" w:rsidRPr="006D1927" w:rsidRDefault="006D1927" w:rsidP="006D19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Ownership, assignment, escalation, SLA, and priority are determined there. </w:t>
      </w:r>
    </w:p>
    <w:p w:rsidR="006D1927" w:rsidRPr="006D1927" w:rsidRDefault="006D1927" w:rsidP="006D19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The framework does not maintain a parallel incident-management process. </w:t>
      </w:r>
    </w:p>
    <w:p w:rsidR="006D1927" w:rsidRPr="006D1927" w:rsidRDefault="006D1927" w:rsidP="006D19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Framework diagnostics, correlation IDs, artifacts, and structured events provide the evidence needed for enterprise triage. </w:t>
      </w:r>
    </w:p>
    <w:p w:rsidR="006D1927" w:rsidRPr="006D1927" w:rsidRDefault="006D1927" w:rsidP="006D19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1927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199 — Final resilience &amp; disaster-recovery bundle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platform outages, observability outages, configuration-service outages, dependency-service failures, and framework degradation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>, choose the overall resilience model: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A. Fail closed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 — Framework stops whenever a required enterprise dependency is unavailable.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B. Graceful degradation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 — Continue with safe reduced functionality wherever technically possible.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C. Dependency-aware degradation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 — Required dependencies block affected modules; independent modules continue.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D. B + C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 — Graceful degradation with dependency-aware isolation.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E. Enterprise resilience platform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 — Enterprise infrastructure determines failover/recovery behavior; framework follows its availability contract.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F. C + E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 — Framework performs dependency-aware isolation while enterprise infrastructure owns failover/recovery.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Your choice?</w:t>
      </w:r>
    </w:p>
    <w:p w:rsidR="006D1927" w:rsidRPr="006D1927" w:rsidRDefault="006D1927" w:rsidP="006D1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>Today 4:15 PM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E. Enterprise resilience platform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 — Enterprise infrastructure determines failover/recovery behavior; framework follows its availability contract.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Perfect. We'll make the </w:t>
      </w: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resilience platform authoritative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D1927" w:rsidRPr="006D1927" w:rsidRDefault="006D1927" w:rsidP="006D19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Enterprise infrastructure determines failover, recovery, and availability behavior. </w:t>
      </w:r>
    </w:p>
    <w:p w:rsidR="006D1927" w:rsidRPr="006D1927" w:rsidRDefault="006D1927" w:rsidP="006D19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Framework follows the defined enterprise availability contract. </w:t>
      </w:r>
    </w:p>
    <w:p w:rsidR="006D1927" w:rsidRPr="006D1927" w:rsidRDefault="006D1927" w:rsidP="006D19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The framework does not implement competing failover mechanisms. </w:t>
      </w:r>
    </w:p>
    <w:p w:rsidR="006D1927" w:rsidRPr="006D1927" w:rsidRDefault="006D1927" w:rsidP="006D19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Framework dependency checks and diagnostics still expose failures clearly. </w:t>
      </w:r>
    </w:p>
    <w:p w:rsidR="006D1927" w:rsidRPr="006D1927" w:rsidRDefault="006D1927" w:rsidP="006D19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Recovery behavior remains externally governed. </w:t>
      </w:r>
    </w:p>
    <w:p w:rsidR="006D1927" w:rsidRPr="006D1927" w:rsidRDefault="006D1927" w:rsidP="006D19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1927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200 — Final architecture decision: framework operating model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This is the </w:t>
      </w: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last major decision bundle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>. Which overall operating model best represents everything you've selected?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A. Standalone framework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 — Framework is largely self-governing and enterprise integrations are optional.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B. Enterprise-integrated framework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 — Framework has its own architecture and execution model, with defined integrations into enterprise platforms.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C. Enterprise-adapted framework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 — Framework minimizes internal policy and primarily adapts to enterprise platforms, SDKs, configuration, observability, security, release, support, and resilience services.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D. B + C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 — Framework owns its </w:t>
      </w: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core execution architecture and technical contracts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>, while enterprise platforms are authoritative for governance, security, configuration, observability, release, support, and resilience.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E. Enterprise platform extension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 — Framework is essentially an extension of the enterprise platform with minimal independent behavior.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Your final choice?</w:t>
      </w:r>
    </w:p>
    <w:p w:rsidR="006D1927" w:rsidRPr="006D1927" w:rsidRDefault="006D1927" w:rsidP="006D1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>Today 4:15 PM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E. Enterprise platform extension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 — Framework is essentially an extension of the enterprise platform with minimal independent behavior.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Locked in. </w:t>
      </w: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Final operating model: Enterprise Platform Extension.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The framework will be designed as a </w:t>
      </w: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thin enterprise-aligned extension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>, rather than an independently governed platform.</w:t>
      </w:r>
    </w:p>
    <w:p w:rsidR="006D1927" w:rsidRPr="006D1927" w:rsidRDefault="006D1927" w:rsidP="006D19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1927">
        <w:rPr>
          <w:rFonts w:ascii="Times New Roman" w:eastAsia="Times New Roman" w:hAnsi="Times New Roman" w:cs="Times New Roman"/>
          <w:b/>
          <w:bCs/>
          <w:sz w:val="27"/>
          <w:szCs w:val="27"/>
        </w:rPr>
        <w:t>Final architecture principles</w:t>
      </w:r>
    </w:p>
    <w:p w:rsidR="006D1927" w:rsidRPr="006D1927" w:rsidRDefault="006D1927" w:rsidP="006D19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platforms are authoritative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D1927" w:rsidRPr="006D1927" w:rsidRDefault="006D1927" w:rsidP="006D19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Security and vulnerability management </w:t>
      </w:r>
    </w:p>
    <w:p w:rsidR="006D1927" w:rsidRPr="006D1927" w:rsidRDefault="006D1927" w:rsidP="006D19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Configuration governance and validation </w:t>
      </w:r>
    </w:p>
    <w:p w:rsidR="006D1927" w:rsidRPr="006D1927" w:rsidRDefault="006D1927" w:rsidP="006D19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Observability and metrics collection </w:t>
      </w:r>
    </w:p>
    <w:p w:rsidR="006D1927" w:rsidRPr="006D1927" w:rsidRDefault="006D1927" w:rsidP="006D19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Release/deployment management </w:t>
      </w:r>
    </w:p>
    <w:p w:rsidR="006D1927" w:rsidRPr="006D1927" w:rsidRDefault="006D1927" w:rsidP="006D19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Support and incident management </w:t>
      </w:r>
    </w:p>
    <w:p w:rsidR="006D1927" w:rsidRPr="006D1927" w:rsidRDefault="006D1927" w:rsidP="006D19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Resilience/failover </w:t>
      </w:r>
    </w:p>
    <w:p w:rsidR="006D1927" w:rsidRPr="006D1927" w:rsidRDefault="006D1927" w:rsidP="006D19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Documentation and organizational guidance </w:t>
      </w:r>
    </w:p>
    <w:p w:rsidR="006D1927" w:rsidRPr="006D1927" w:rsidRDefault="006D1927" w:rsidP="006D19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Quality governance </w:t>
      </w:r>
    </w:p>
    <w:p w:rsidR="006D1927" w:rsidRPr="006D1927" w:rsidRDefault="006D1927" w:rsidP="006D19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 owns only essential technical behavior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D1927" w:rsidRPr="006D1927" w:rsidRDefault="006D1927" w:rsidP="006D19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Test execution orchestration </w:t>
      </w:r>
    </w:p>
    <w:p w:rsidR="006D1927" w:rsidRPr="006D1927" w:rsidRDefault="006D1927" w:rsidP="006D19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Module lifecycle </w:t>
      </w:r>
    </w:p>
    <w:p w:rsidR="006D1927" w:rsidRPr="006D1927" w:rsidRDefault="006D1927" w:rsidP="006D19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Dependency-aware execution </w:t>
      </w:r>
    </w:p>
    <w:p w:rsidR="006D1927" w:rsidRPr="006D1927" w:rsidRDefault="006D1927" w:rsidP="006D19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Resource lifecycle and cleanup </w:t>
      </w:r>
    </w:p>
    <w:p w:rsidR="006D1927" w:rsidRPr="006D1927" w:rsidRDefault="006D1927" w:rsidP="006D19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Framework-specific validation </w:t>
      </w:r>
    </w:p>
    <w:p w:rsidR="006D1927" w:rsidRPr="006D1927" w:rsidRDefault="006D1927" w:rsidP="006D19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Standardized test/result generation </w:t>
      </w:r>
    </w:p>
    <w:p w:rsidR="006D1927" w:rsidRPr="006D1927" w:rsidRDefault="006D1927" w:rsidP="006D19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Enterprise SDK integration </w:t>
      </w:r>
    </w:p>
    <w:p w:rsidR="006D1927" w:rsidRPr="006D1927" w:rsidRDefault="006D1927" w:rsidP="006D19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SDK-driven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D1927" w:rsidRPr="006D1927" w:rsidRDefault="006D1927" w:rsidP="006D19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Prefer approved enterprise SDKs. </w:t>
      </w:r>
    </w:p>
    <w:p w:rsidR="006D1927" w:rsidRPr="006D1927" w:rsidRDefault="006D1927" w:rsidP="006D19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Keep internal abstractions minimal. </w:t>
      </w:r>
    </w:p>
    <w:p w:rsidR="006D1927" w:rsidRPr="006D1927" w:rsidRDefault="006D1927" w:rsidP="006D19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Use controlled extension points only where genuinely required. </w:t>
      </w:r>
    </w:p>
    <w:p w:rsidR="006D1927" w:rsidRPr="006D1927" w:rsidRDefault="006D1927" w:rsidP="006D19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contracts drive integration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D1927" w:rsidRPr="006D1927" w:rsidRDefault="006D1927" w:rsidP="006D19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Enterprise schemas and event formats are followed. </w:t>
      </w:r>
    </w:p>
    <w:p w:rsidR="006D1927" w:rsidRPr="006D1927" w:rsidRDefault="006D1927" w:rsidP="006D19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Enterprise configuration controls observability. </w:t>
      </w:r>
    </w:p>
    <w:p w:rsidR="006D1927" w:rsidRPr="006D1927" w:rsidRDefault="006D1927" w:rsidP="006D19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Enterprise tooling controls release, security, support, and resilience behavior. </w:t>
      </w:r>
    </w:p>
    <w:p w:rsidR="006D1927" w:rsidRPr="006D1927" w:rsidRDefault="006D1927" w:rsidP="006D19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Governed exceptions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D1927" w:rsidRPr="006D1927" w:rsidRDefault="006D1927" w:rsidP="006D19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Any deviation from enterprise standards must be formally documented and governed. </w:t>
      </w:r>
    </w:p>
    <w:p w:rsidR="006D1927" w:rsidRPr="006D1927" w:rsidRDefault="006D1927" w:rsidP="006D19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Thin framework principle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D1927" w:rsidRPr="006D1927" w:rsidRDefault="006D1927" w:rsidP="006D19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Don't rebuild what the enterprise already provides.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D1927" w:rsidRPr="006D1927" w:rsidRDefault="006D1927" w:rsidP="006D19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Adapt to enterprise capabilities rather than creating competing framework capabilities. </w:t>
      </w:r>
    </w:p>
    <w:p w:rsidR="006D1927" w:rsidRPr="006D1927" w:rsidRDefault="006D1927" w:rsidP="006D19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1927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6D19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Architecture decision set completed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You've now completed </w:t>
      </w: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200 architecture decisions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 covering: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Architecture → modules → configuration → secrets → retries → lifecycle → concurrency → dependencies → execution → reporting → artifacts → logging → security → </w:t>
      </w: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observability → enterprise integration → governance → documentation → release → support → resilience → final operating model.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>The resulting framework is therefore best characterized as:</w:t>
      </w:r>
    </w:p>
    <w:p w:rsidR="006D1927" w:rsidRPr="006D1927" w:rsidRDefault="006D1927" w:rsidP="006D19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An enterprise-platform extension with a thin execution framework, enterprise-controlled governance, SDK-driven integrations, dependency-aware execution, and minimal independent policy.</w: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t xml:space="preserve">This is a strong direction for an </w:t>
      </w:r>
      <w:r w:rsidRPr="006D1927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QA automation framework</w:t>
      </w:r>
      <w:r w:rsidRPr="006D1927">
        <w:rPr>
          <w:rFonts w:ascii="Times New Roman" w:eastAsia="Times New Roman" w:hAnsi="Times New Roman" w:cs="Times New Roman"/>
          <w:sz w:val="24"/>
          <w:szCs w:val="24"/>
        </w:rPr>
        <w:t>, because it avoids creating another standalone platform that duplicates capabilities already provided by the organization.</w:t>
      </w:r>
    </w:p>
    <w:p w:rsidR="006D1927" w:rsidRPr="006D1927" w:rsidRDefault="006D1927" w:rsidP="006D192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6D1927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6D1927" w:rsidRPr="006D1927" w:rsidRDefault="006D1927" w:rsidP="006D1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1927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136.75pt;height:57.5pt" o:ole="">
            <v:imagedata r:id="rId5" o:title=""/>
          </v:shape>
          <w:control r:id="rId6" w:name="DefaultOcxName" w:shapeid="_x0000_i1035"/>
        </w:object>
      </w:r>
    </w:p>
    <w:p w:rsidR="006D1927" w:rsidRPr="006D1927" w:rsidRDefault="006D1927" w:rsidP="006D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1927" w:rsidRPr="006D1927" w:rsidRDefault="006D1927" w:rsidP="006D192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6D1927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AA084C" w:rsidRDefault="00AA084C"/>
    <w:sectPr w:rsidR="00AA08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C10F3"/>
    <w:multiLevelType w:val="multilevel"/>
    <w:tmpl w:val="EAA8A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307A4F"/>
    <w:multiLevelType w:val="multilevel"/>
    <w:tmpl w:val="EFFC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5545B"/>
    <w:multiLevelType w:val="multilevel"/>
    <w:tmpl w:val="CD3A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A4615"/>
    <w:multiLevelType w:val="multilevel"/>
    <w:tmpl w:val="C210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74FB9"/>
    <w:multiLevelType w:val="multilevel"/>
    <w:tmpl w:val="735E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3570A"/>
    <w:multiLevelType w:val="multilevel"/>
    <w:tmpl w:val="CCE05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476F6B"/>
    <w:multiLevelType w:val="multilevel"/>
    <w:tmpl w:val="590C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C7185"/>
    <w:multiLevelType w:val="multilevel"/>
    <w:tmpl w:val="98F6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E602C"/>
    <w:multiLevelType w:val="multilevel"/>
    <w:tmpl w:val="A90CE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8C563D"/>
    <w:multiLevelType w:val="multilevel"/>
    <w:tmpl w:val="5E94A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9"/>
  </w:num>
  <w:num w:numId="5">
    <w:abstractNumId w:val="7"/>
  </w:num>
  <w:num w:numId="6">
    <w:abstractNumId w:val="6"/>
  </w:num>
  <w:num w:numId="7">
    <w:abstractNumId w:val="0"/>
  </w:num>
  <w:num w:numId="8">
    <w:abstractNumId w:val="1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927"/>
    <w:rsid w:val="006D1927"/>
    <w:rsid w:val="00AA0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956C4"/>
  <w15:chartTrackingRefBased/>
  <w15:docId w15:val="{81FF431D-42A0-48FB-A3A4-7A993B7F0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D19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D192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D1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D1927"/>
    <w:rPr>
      <w:b/>
      <w:bCs/>
    </w:rPr>
  </w:style>
  <w:style w:type="character" w:customStyle="1" w:styleId="text-token-text-tertiary">
    <w:name w:val="text-token-text-tertiary"/>
    <w:basedOn w:val="DefaultParagraphFont"/>
    <w:rsid w:val="006D1927"/>
  </w:style>
  <w:style w:type="character" w:customStyle="1" w:styleId="font-medium">
    <w:name w:val="font-medium"/>
    <w:basedOn w:val="DefaultParagraphFont"/>
    <w:rsid w:val="006D1927"/>
  </w:style>
  <w:style w:type="character" w:customStyle="1" w:styleId="font-normal">
    <w:name w:val="font-normal"/>
    <w:basedOn w:val="DefaultParagraphFont"/>
    <w:rsid w:val="006D192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D192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D1927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6D1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D192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D1927"/>
    <w:rPr>
      <w:rFonts w:ascii="Arial" w:eastAsia="Times New Roman" w:hAnsi="Arial" w:cs="Arial"/>
      <w:vanish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6D19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36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3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1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53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76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86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17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91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05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957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261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158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323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747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413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3820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8618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7205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8117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679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292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90963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85170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84121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77427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46306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2326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7687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684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1982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0001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82308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27047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30577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4429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834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472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5301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0440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0212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37902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43524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3663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078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049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3916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1961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42028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19912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9107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1529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354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932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8799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4163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02689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00203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02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0350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739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6007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809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9390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32187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25798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6209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9464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166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033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9711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38263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8570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40118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3236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5015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046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6179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701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317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675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19583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9019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5766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3257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9873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142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20075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0261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7197107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0388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703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808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3914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504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8590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0252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916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471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30791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71479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40322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83943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9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82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74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78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1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638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4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349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742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723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287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956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714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2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4183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2163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56620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45623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50330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483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4683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6157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6567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449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3586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1805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5742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6524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2040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752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988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6125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8142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5580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69925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44254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6846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7264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636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3015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78933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397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3228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8137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8751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553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068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7586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21982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0389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73095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3850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396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0842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9729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2772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3549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6559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6842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3778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06646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634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9586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5920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1991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4477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09197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53882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763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9428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245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34344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9786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54804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2244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9521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5424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004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3968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4557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76930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1353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25915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6421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0381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8032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0204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7580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6155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661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92071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331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2009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845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9924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0730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5509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10308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33037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8970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797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434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811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702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5760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26506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0561935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2097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250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7579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352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5618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9191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2675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8466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4870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1272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90568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92213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73066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4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3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45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20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43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385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23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5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617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949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515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785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262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0159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6085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0978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3631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9232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3412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08478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38647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9548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7454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0989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32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8178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6178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0692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21795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87892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657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458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4525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8536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8193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06038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02888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8907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3546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8872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2681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80315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69654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294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84829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55539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427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2563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7516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0197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63832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76497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4989992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34819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064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561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793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895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318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7690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4379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25649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7063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79693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65067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85292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80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11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1245</Words>
  <Characters>7098</Characters>
  <Application>Microsoft Office Word</Application>
  <DocSecurity>0</DocSecurity>
  <Lines>59</Lines>
  <Paragraphs>16</Paragraphs>
  <ScaleCrop>false</ScaleCrop>
  <Company/>
  <LinksUpToDate>false</LinksUpToDate>
  <CharactersWithSpaces>8327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2026-08-13T23:16:00Z</dcterms:created>
  <dcterms:modified xsi:type="dcterms:W3CDTF">2026-08-13T23:26:00Z</dcterms:modified>
</cp:coreProperties>
</file>