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Thread — CLM-26042</w:t>
      </w:r>
    </w:p>
    <w:p>
      <w:r>
        <w:t>From: Rohan Mehta &lt;rohan.mehta@northstar-fs.example&gt;</w:t>
        <w:br/>
        <w:t>To: Finance Desk &lt;finance@northstar-fs.example&gt;</w:t>
        <w:br/>
        <w:t>Date: 06 May 2026</w:t>
        <w:br/>
        <w:t>Subject: Hotel claim CLM-26042</w:t>
      </w:r>
    </w:p>
    <w:p>
      <w:r>
        <w:t>Hi Finance,</w:t>
        <w:br/>
        <w:t>The Redhaven hotel was ₹4,620 because the customer moved the maintenance visit to a same-day slot. The booking was made after the supervisor confirmed the change.</w:t>
      </w:r>
    </w:p>
    <w:p>
      <w:r>
        <w:t>— Rohan</w:t>
      </w:r>
    </w:p>
    <w:p>
      <w:r>
        <w:br/>
        <w:t>Reply — Finance Desk, 07 May 2026</w:t>
      </w:r>
    </w:p>
    <w:p>
      <w:r>
        <w:t>Please provide the supervisor approval. The standard current cap is ₹4,500. If the exception is covered by the employee's approved field-travel arrangement, attach that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