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095B0792" wp14:textId="1CD8E4F9">
      <w:r w:rsidRPr="044FFA77" w:rsidR="288895E0">
        <w:rPr>
          <w:rFonts w:ascii="Aptos" w:hAnsi="Aptos" w:eastAsia="Aptos" w:cs="Aptos"/>
          <w:noProof w:val="0"/>
          <w:sz w:val="24"/>
          <w:szCs w:val="24"/>
          <w:lang w:val="en-US"/>
        </w:rPr>
        <w:t>Review of the Draft Legal Notice</w:t>
      </w:r>
    </w:p>
    <w:p xmlns:wp14="http://schemas.microsoft.com/office/word/2010/wordml" wp14:paraId="2E13D542" wp14:textId="5067F8DE">
      <w:r w:rsidRPr="044FFA77" w:rsidR="288895E0">
        <w:rPr>
          <w:rFonts w:ascii="Aptos" w:hAnsi="Aptos" w:eastAsia="Aptos" w:cs="Aptos"/>
          <w:noProof w:val="0"/>
          <w:sz w:val="24"/>
          <w:szCs w:val="24"/>
          <w:lang w:val="en-US"/>
        </w:rPr>
        <w:t>Mr. Singh, I have carefully gone through the draft you have shared. As a template / skeleton notice, it is reasonably well-structured and follows the conventional Indian format. However, there are several drafting, structural and legal issues that need correction before it can be used as a filing-ready instrument. My observations are set out below.</w:t>
      </w:r>
    </w:p>
    <w:p xmlns:wp14="http://schemas.microsoft.com/office/word/2010/wordml" wp14:paraId="12E19CED" wp14:textId="1454A030">
      <w:r w:rsidRPr="044FFA77" w:rsidR="288895E0">
        <w:rPr>
          <w:rFonts w:ascii="Aptos" w:hAnsi="Aptos" w:eastAsia="Aptos" w:cs="Aptos"/>
          <w:noProof w:val="0"/>
          <w:sz w:val="24"/>
          <w:szCs w:val="24"/>
          <w:lang w:val="en-US"/>
        </w:rPr>
        <w:t>I. STRUCTURAL &amp; FORMATTING ISSUES</w:t>
      </w:r>
    </w:p>
    <w:p xmlns:wp14="http://schemas.microsoft.com/office/word/2010/wordml" wp14:paraId="39B706BD" wp14:textId="380B4CFE">
      <w:r w:rsidRPr="044FFA77" w:rsidR="288895E0">
        <w:rPr>
          <w:rFonts w:ascii="Aptos" w:hAnsi="Aptos" w:eastAsia="Aptos" w:cs="Aptos"/>
          <w:noProof w:val="0"/>
          <w:sz w:val="24"/>
          <w:szCs w:val="24"/>
          <w:lang w:val="en-US"/>
        </w:rPr>
        <w:t>1.1 Paragraph numbering is inconsistent. The notice begins with unnumbered paragraphs ("That our Client is…", "That you, the Noticee…"), then jumps to paragraph 4.1, then to standalone paragraphs, and later to 10.1 and 11.1. There is no paragraph 1, 2, 3, 5, 6, 7, 8 or 9 visible as numbered items. The numbering should run sequentially and continuously (1, 2, 3 … 15) with sub-paragraphs (4.1, 4.2) only where genuinely needed.</w:t>
      </w:r>
    </w:p>
    <w:p xmlns:wp14="http://schemas.microsoft.com/office/word/2010/wordml" wp14:paraId="7F130326" wp14:textId="6C34D0CA">
      <w:r w:rsidRPr="044FFA77" w:rsidR="288895E0">
        <w:rPr>
          <w:rFonts w:ascii="Aptos" w:hAnsi="Aptos" w:eastAsia="Aptos" w:cs="Aptos"/>
          <w:noProof w:val="0"/>
          <w:sz w:val="24"/>
          <w:szCs w:val="24"/>
          <w:lang w:val="en-US"/>
        </w:rPr>
        <w:t>1.2 Heading hierarchy is broken. Roman numerals (I, II, III) are used for sections, but the sub-paragraphs do not tie back to them. Either use I/II/III for sections with 1, 2, 3 paragraphs underneath, or drop the Roman numerals entirely.</w:t>
      </w:r>
    </w:p>
    <w:p xmlns:wp14="http://schemas.microsoft.com/office/word/2010/wordml" wp14:paraId="58D23960" wp14:textId="28122063">
      <w:r w:rsidRPr="044FFA77" w:rsidR="288895E0">
        <w:rPr>
          <w:rFonts w:ascii="Aptos" w:hAnsi="Aptos" w:eastAsia="Aptos" w:cs="Aptos"/>
          <w:noProof w:val="0"/>
          <w:sz w:val="24"/>
          <w:szCs w:val="24"/>
          <w:lang w:val="en-US"/>
        </w:rPr>
        <w:t>1.3 Formatting of the addressee block is cramped — "S/o", "R/o", "Email/Mobile" should each be on a separate line for a clean filing copy.</w:t>
      </w:r>
    </w:p>
    <w:p xmlns:wp14="http://schemas.microsoft.com/office/word/2010/wordml" wp14:paraId="593E269F" wp14:textId="60487414">
      <w:r w:rsidRPr="044FFA77" w:rsidR="288895E0">
        <w:rPr>
          <w:rFonts w:ascii="Aptos" w:hAnsi="Aptos" w:eastAsia="Aptos" w:cs="Aptos"/>
          <w:noProof w:val="0"/>
          <w:sz w:val="24"/>
          <w:szCs w:val="24"/>
          <w:lang w:val="en-US"/>
        </w:rPr>
        <w:t>1.4 Signature block is run-on. "Yuvraj Singh Advocate Lexlegis [OFFICE ADDRESS]…" should be broken into separate lines.</w:t>
      </w:r>
    </w:p>
    <w:p xmlns:wp14="http://schemas.microsoft.com/office/word/2010/wordml" wp14:paraId="6EFE7916" wp14:textId="4725EA10">
      <w:r w:rsidRPr="044FFA77" w:rsidR="288895E0">
        <w:rPr>
          <w:rFonts w:ascii="Aptos" w:hAnsi="Aptos" w:eastAsia="Aptos" w:cs="Aptos"/>
          <w:noProof w:val="0"/>
          <w:sz w:val="24"/>
          <w:szCs w:val="24"/>
          <w:lang w:val="en-US"/>
        </w:rPr>
        <w:t>II. SUBSTANTIVE / LEGAL ISSUES</w:t>
      </w:r>
    </w:p>
    <w:p xmlns:wp14="http://schemas.microsoft.com/office/word/2010/wordml" wp14:paraId="7FEE2294" wp14:textId="7A9BA2F6">
      <w:r w:rsidRPr="044FFA77" w:rsidR="288895E0">
        <w:rPr>
          <w:rFonts w:ascii="Aptos" w:hAnsi="Aptos" w:eastAsia="Aptos" w:cs="Aptos"/>
          <w:noProof w:val="0"/>
          <w:sz w:val="24"/>
          <w:szCs w:val="24"/>
          <w:lang w:val="en-US"/>
        </w:rPr>
        <w:t>2.1 "Without Prejudice" tag is misused. A statutory demand notice (especially under Section 138 of the Negotiable Instruments Act, 1881, or a notice founding a suit for recovery) must not be marked "Without Prejudice". Doing so can render the notice inadmissible in evidence or defeat its statutory purpose, since "without prejudice" communications are protected settlement correspondence under Section 23 of the Bharatiya Sakshya Adhiniyam, 2023 (formerly Section 23 of the Indian Evidence Act, 1872). This tag must be deleted for any demand/statutory notice.</w:t>
      </w:r>
    </w:p>
    <w:p xmlns:wp14="http://schemas.microsoft.com/office/word/2010/wordml" wp14:paraId="5940519F" wp14:textId="251A2F9C">
      <w:r w:rsidRPr="044FFA77" w:rsidR="288895E0">
        <w:rPr>
          <w:rFonts w:ascii="Aptos" w:hAnsi="Aptos" w:eastAsia="Aptos" w:cs="Aptos"/>
          <w:noProof w:val="0"/>
          <w:sz w:val="24"/>
          <w:szCs w:val="24"/>
          <w:lang w:val="en-US"/>
        </w:rPr>
        <w:t>2.2 Reference to the Bharatiya Nyaya Sanhita, 2023 ("BNS") is correct but incomplete. Since 01/07/2024, the BNS has replaced the IPC. However, the notice should also reference, where applicable:</w:t>
      </w:r>
    </w:p>
    <w:p xmlns:wp14="http://schemas.microsoft.com/office/word/2010/wordml" wp14:paraId="22CAE865" wp14:textId="208600C4">
      <w:r w:rsidRPr="044FFA77" w:rsidR="288895E0">
        <w:rPr>
          <w:rFonts w:ascii="Aptos" w:hAnsi="Aptos" w:eastAsia="Aptos" w:cs="Aptos"/>
          <w:noProof w:val="0"/>
          <w:sz w:val="24"/>
          <w:szCs w:val="24"/>
          <w:lang w:val="en-US"/>
        </w:rPr>
        <w:t>Bharatiya Nagarik Suraksha Sanhita, 2023 (BNSS) — for criminal complaint procedure; Bharatiya Sakshya Adhiniyam, 2023 (BSA) — for evidence.</w:t>
      </w:r>
    </w:p>
    <w:p xmlns:wp14="http://schemas.microsoft.com/office/word/2010/wordml" wp14:paraId="47671EAF" wp14:textId="68E23980">
      <w:r w:rsidRPr="044FFA77" w:rsidR="288895E0">
        <w:rPr>
          <w:rFonts w:ascii="Aptos" w:hAnsi="Aptos" w:eastAsia="Aptos" w:cs="Aptos"/>
          <w:noProof w:val="0"/>
          <w:sz w:val="24"/>
          <w:szCs w:val="24"/>
          <w:lang w:val="en-US"/>
        </w:rPr>
        <w:t>The blanket reference to "Indian Contract Act, 1872" and "Negotiable Instruments Act, 1881" is fine — these statutes remain in force.</w:t>
      </w:r>
    </w:p>
    <w:p xmlns:wp14="http://schemas.microsoft.com/office/word/2010/wordml" wp14:paraId="2EDBA3DD" wp14:textId="03D402D5">
      <w:r w:rsidRPr="044FFA77" w:rsidR="288895E0">
        <w:rPr>
          <w:rFonts w:ascii="Aptos" w:hAnsi="Aptos" w:eastAsia="Aptos" w:cs="Aptos"/>
          <w:noProof w:val="0"/>
          <w:sz w:val="24"/>
          <w:szCs w:val="24"/>
          <w:lang w:val="en-US"/>
        </w:rPr>
        <w:t>2.3 Section 138 NI Act notice period. Paragraph 10 grants "15 days" for compliance. While 15 days is the conventional civil-side period, a Section 138 NI Act notice must specifically demand payment within 15 days of receipt of the notice (statutorily mandated). If the notice is for a dishonoured cheque, this requirement should be explicitly pleaded, along with:</w:t>
      </w:r>
    </w:p>
    <w:p xmlns:wp14="http://schemas.microsoft.com/office/word/2010/wordml" wp14:paraId="27154E65" wp14:textId="08D86324">
      <w:r w:rsidRPr="044FFA77" w:rsidR="288895E0">
        <w:rPr>
          <w:rFonts w:ascii="Aptos" w:hAnsi="Aptos" w:eastAsia="Aptos" w:cs="Aptos"/>
          <w:noProof w:val="0"/>
          <w:sz w:val="24"/>
          <w:szCs w:val="24"/>
          <w:lang w:val="en-US"/>
        </w:rPr>
        <w:t>the date of presentation of the cheque, the date of return memo, the reason for dishonour ("funds insufficient" / "account closed" / "payment stopped", etc.), and the notice must be issued within 30 days of receipt of the bank's return memo.</w:t>
      </w:r>
    </w:p>
    <w:p xmlns:wp14="http://schemas.microsoft.com/office/word/2010/wordml" wp14:paraId="1B9ABC0F" wp14:textId="56059B99">
      <w:r w:rsidRPr="044FFA77" w:rsidR="288895E0">
        <w:rPr>
          <w:rFonts w:ascii="Aptos" w:hAnsi="Aptos" w:eastAsia="Aptos" w:cs="Aptos"/>
          <w:noProof w:val="0"/>
          <w:sz w:val="24"/>
          <w:szCs w:val="24"/>
          <w:lang w:val="en-US"/>
        </w:rPr>
        <w:t>The current draft does not capture these particulars.</w:t>
      </w:r>
    </w:p>
    <w:p xmlns:wp14="http://schemas.microsoft.com/office/word/2010/wordml" wp14:paraId="04479B6C" wp14:textId="262D739E">
      <w:r w:rsidRPr="044FFA77" w:rsidR="288895E0">
        <w:rPr>
          <w:rFonts w:ascii="Aptos" w:hAnsi="Aptos" w:eastAsia="Aptos" w:cs="Aptos"/>
          <w:noProof w:val="0"/>
          <w:sz w:val="24"/>
          <w:szCs w:val="24"/>
          <w:lang w:val="en-US"/>
        </w:rPr>
        <w:t>2.4 Pre-litigation mediation under Section 12A, Commercial Courts Act, 2015. If the dispute is a "commercial dispute" exceeding ₹3,00,000 in value and no urgent interim relief is sought, pre-institution mediation is mandatory (per Patil Automation Pvt. Ltd. v. Rakheja Engineers, (2022) 10 SCC 1). The notice could helpfully indicate the client's willingness/readiness for such mediation where applicable.</w:t>
      </w:r>
    </w:p>
    <w:p xmlns:wp14="http://schemas.microsoft.com/office/word/2010/wordml" wp14:paraId="44F1097E" wp14:textId="26E71BE3">
      <w:r w:rsidRPr="044FFA77" w:rsidR="288895E0">
        <w:rPr>
          <w:rFonts w:ascii="Aptos" w:hAnsi="Aptos" w:eastAsia="Aptos" w:cs="Aptos"/>
          <w:noProof w:val="0"/>
          <w:sz w:val="24"/>
          <w:szCs w:val="24"/>
          <w:lang w:val="en-US"/>
        </w:rPr>
        <w:t>2.5 Interest rate is left blank without anchoring it. Paragraph 10.1 demands interest "@ [RATE]% per annum" without specifying whether it is contractual, statutory (Section 34 CPC), or under the Interest Act, 1978. The drafter should specify the source of the interest claim.</w:t>
      </w:r>
    </w:p>
    <w:p xmlns:wp14="http://schemas.microsoft.com/office/word/2010/wordml" wp14:paraId="53CCC44E" wp14:textId="3661DD85">
      <w:r w:rsidRPr="044FFA77" w:rsidR="288895E0">
        <w:rPr>
          <w:rFonts w:ascii="Aptos" w:hAnsi="Aptos" w:eastAsia="Aptos" w:cs="Aptos"/>
          <w:noProof w:val="0"/>
          <w:sz w:val="24"/>
          <w:szCs w:val="24"/>
          <w:lang w:val="en-US"/>
        </w:rPr>
        <w:t>2.6 Reliefs are bundled disjunctively. Paragraphs 10.1 to 10.5 mix payment, cease-and-desist, restoration, apology, and costs — these are mutually inconsistent reliefs that correspond to different causes of action (money recovery, defamation, possession suit). A single notice should ordinarily seek reliefs consistent with one cause of action. The template, in trying to cover every scenario, would in practice need to be trimmed down to the specific wrong complained of.</w:t>
      </w:r>
    </w:p>
    <w:p xmlns:wp14="http://schemas.microsoft.com/office/word/2010/wordml" wp14:paraId="77C8180E" wp14:textId="6E130C49">
      <w:r w:rsidRPr="044FFA77" w:rsidR="288895E0">
        <w:rPr>
          <w:rFonts w:ascii="Aptos" w:hAnsi="Aptos" w:eastAsia="Aptos" w:cs="Aptos"/>
          <w:noProof w:val="0"/>
          <w:sz w:val="24"/>
          <w:szCs w:val="24"/>
          <w:lang w:val="en-US"/>
        </w:rPr>
        <w:t>2.7 The subject line offers "[CEASE AND DESIST / PAY / PERFORM / REMEDY]" as alternatives, which is acceptable for a template but must be reduced to one before despatch.</w:t>
      </w:r>
    </w:p>
    <w:p xmlns:wp14="http://schemas.microsoft.com/office/word/2010/wordml" wp14:paraId="49885C1F" wp14:textId="190058D0">
      <w:r w:rsidRPr="044FFA77" w:rsidR="288895E0">
        <w:rPr>
          <w:rFonts w:ascii="Aptos" w:hAnsi="Aptos" w:eastAsia="Aptos" w:cs="Aptos"/>
          <w:noProof w:val="0"/>
          <w:sz w:val="24"/>
          <w:szCs w:val="24"/>
          <w:lang w:val="en-US"/>
        </w:rPr>
        <w:t>2.8 "Civil and criminal proceedings" threat — caution. A threat of criminal prosecution to enforce a purely civil claim can amount to professional misconduct under the Bar Council of India Rules and may even attract Section 308 BNS (extortion) in egregious cases. The criminal-proceedings threat should be confined to cases where a bona fide criminal offence is genuinely made out (e.g., cheating under Section 318 BNS, criminal breach of trust under Section 316 BNS, cheque dishonour under Section 138 NI Act).</w:t>
      </w:r>
    </w:p>
    <w:p xmlns:wp14="http://schemas.microsoft.com/office/word/2010/wordml" wp14:paraId="4328226A" wp14:textId="7D23CA6C">
      <w:r w:rsidRPr="044FFA77" w:rsidR="288895E0">
        <w:rPr>
          <w:rFonts w:ascii="Aptos" w:hAnsi="Aptos" w:eastAsia="Aptos" w:cs="Aptos"/>
          <w:noProof w:val="0"/>
          <w:sz w:val="24"/>
          <w:szCs w:val="24"/>
          <w:lang w:val="en-US"/>
        </w:rPr>
        <w:t>2.9 "Mental agony and financial hardship" quantified in INR. General damages for mental agony are not ordinarily liquidated in a notice unless there is a specific contractual or statutory basis. Better practice is to claim them "as may be assessed" or "as may be quantified at the time of filing the suit".</w:t>
      </w:r>
    </w:p>
    <w:p xmlns:wp14="http://schemas.microsoft.com/office/word/2010/wordml" wp14:paraId="32A456B8" wp14:textId="486C3CC9">
      <w:r w:rsidRPr="044FFA77" w:rsidR="288895E0">
        <w:rPr>
          <w:rFonts w:ascii="Aptos" w:hAnsi="Aptos" w:eastAsia="Aptos" w:cs="Aptos"/>
          <w:noProof w:val="0"/>
          <w:sz w:val="24"/>
          <w:szCs w:val="24"/>
          <w:lang w:val="en-US"/>
        </w:rPr>
        <w:t>2.10 Verification / Authority clause missing. A legal notice issued by an advocate should ideally contain a line such as: "This notice is being issued under specific written instructions and authority of our Client, a copy of which is retained in our office." This protects the advocate under the Bar Council of India Rules.</w:t>
      </w:r>
    </w:p>
    <w:p xmlns:wp14="http://schemas.microsoft.com/office/word/2010/wordml" wp14:paraId="338A97A8" wp14:textId="5714C1D7">
      <w:r w:rsidRPr="044FFA77" w:rsidR="288895E0">
        <w:rPr>
          <w:rFonts w:ascii="Aptos" w:hAnsi="Aptos" w:eastAsia="Aptos" w:cs="Aptos"/>
          <w:noProof w:val="0"/>
          <w:sz w:val="24"/>
          <w:szCs w:val="24"/>
          <w:lang w:val="en-US"/>
        </w:rPr>
        <w:t>2.11 Vakalatnama / Authority Letter — not mentioned, but the advocate must hold a written authority/engagement letter from the client before issuing the notice.</w:t>
      </w:r>
    </w:p>
    <w:p xmlns:wp14="http://schemas.microsoft.com/office/word/2010/wordml" wp14:paraId="4217C52C" wp14:textId="21EEEB19">
      <w:r w:rsidRPr="044FFA77" w:rsidR="288895E0">
        <w:rPr>
          <w:rFonts w:ascii="Aptos" w:hAnsi="Aptos" w:eastAsia="Aptos" w:cs="Aptos"/>
          <w:noProof w:val="0"/>
          <w:sz w:val="24"/>
          <w:szCs w:val="24"/>
          <w:lang w:val="en-US"/>
        </w:rPr>
        <w:t>2.12 Mode of service. "Speed Post / Registered A.D. / Email" — all three are acceptable, but for a Section 138 NI Act notice, service by Registered Post A.D. is the safest, since presumption of service under Section 27 of the General Clauses Act, 1897 attaches to it. Email service should be in addition to, not in lieu of, registered post.</w:t>
      </w:r>
    </w:p>
    <w:p xmlns:wp14="http://schemas.microsoft.com/office/word/2010/wordml" wp14:paraId="1991D706" wp14:textId="5633418F">
      <w:r w:rsidRPr="044FFA77" w:rsidR="288895E0">
        <w:rPr>
          <w:rFonts w:ascii="Aptos" w:hAnsi="Aptos" w:eastAsia="Aptos" w:cs="Aptos"/>
          <w:noProof w:val="0"/>
          <w:sz w:val="24"/>
          <w:szCs w:val="24"/>
          <w:lang w:val="en-US"/>
        </w:rPr>
        <w:t>III. TYPOGRAPHICAL &amp; DRAFTING REFINEMENTS</w:t>
      </w:r>
    </w:p>
    <w:p xmlns:wp14="http://schemas.microsoft.com/office/word/2010/wordml" wp14:paraId="3FF6DECD" wp14:textId="64054ACF">
      <w:r w:rsidRPr="044FFA77" w:rsidR="288895E0">
        <w:rPr>
          <w:rFonts w:ascii="Aptos" w:hAnsi="Aptos" w:eastAsia="Aptos" w:cs="Aptos"/>
          <w:noProof w:val="0"/>
          <w:sz w:val="24"/>
          <w:szCs w:val="24"/>
          <w:lang w:val="en-US"/>
        </w:rPr>
        <w:t>3.1 "Sir/Madam" — acceptable, but in modern practice "Dear Sir/Madam," with a comma is preferred.</w:t>
      </w:r>
    </w:p>
    <w:p xmlns:wp14="http://schemas.microsoft.com/office/word/2010/wordml" wp14:paraId="1757B7AC" wp14:textId="21A03E74">
      <w:r w:rsidRPr="044FFA77" w:rsidR="288895E0">
        <w:rPr>
          <w:rFonts w:ascii="Aptos" w:hAnsi="Aptos" w:eastAsia="Aptos" w:cs="Aptos"/>
          <w:noProof w:val="0"/>
          <w:sz w:val="24"/>
          <w:szCs w:val="24"/>
          <w:lang w:val="en-US"/>
        </w:rPr>
        <w:t>3.2 Paragraph 11 ends with "…both as to costs and consequences, which please note." — this is tautological ("risk, cost, consequences and liability, both as to costs and consequences"). Trim to: "…entirely at your sole risk, cost and consequences, which please note."</w:t>
      </w:r>
    </w:p>
    <w:p xmlns:wp14="http://schemas.microsoft.com/office/word/2010/wordml" wp14:paraId="5AE4A379" wp14:textId="2D35092F">
      <w:r w:rsidRPr="044FFA77" w:rsidR="288895E0">
        <w:rPr>
          <w:rFonts w:ascii="Aptos" w:hAnsi="Aptos" w:eastAsia="Aptos" w:cs="Aptos"/>
          <w:noProof w:val="0"/>
          <w:sz w:val="24"/>
          <w:szCs w:val="24"/>
          <w:lang w:val="en-US"/>
        </w:rPr>
        <w:t>3.3 "law-abiding citizen of India, of impeccable reputation and standing in society" — boilerplate puffery. Acceptable in defamation notices, but unnecessary and even counterproductive in a recovery or breach-of-contract notice. Use only where relevant.</w:t>
      </w:r>
    </w:p>
    <w:p xmlns:wp14="http://schemas.microsoft.com/office/word/2010/wordml" wp14:paraId="4C0483C4" wp14:textId="2173E643">
      <w:r w:rsidRPr="044FFA77" w:rsidR="288895E0">
        <w:rPr>
          <w:rFonts w:ascii="Aptos" w:hAnsi="Aptos" w:eastAsia="Aptos" w:cs="Aptos"/>
          <w:noProof w:val="0"/>
          <w:sz w:val="24"/>
          <w:szCs w:val="24"/>
          <w:lang w:val="en-US"/>
        </w:rPr>
        <w:t>3.4 "on diverse dates" — archaic. Prefer "on various dates" or specify the dates.</w:t>
      </w:r>
    </w:p>
    <w:p xmlns:wp14="http://schemas.microsoft.com/office/word/2010/wordml" wp14:paraId="6CED990C" wp14:textId="27ED77BC">
      <w:r w:rsidRPr="044FFA77" w:rsidR="288895E0">
        <w:rPr>
          <w:rFonts w:ascii="Aptos" w:hAnsi="Aptos" w:eastAsia="Aptos" w:cs="Aptos"/>
          <w:noProof w:val="0"/>
          <w:sz w:val="24"/>
          <w:szCs w:val="24"/>
          <w:lang w:val="en-US"/>
        </w:rPr>
        <w:t>3.5 "TAKE NOTICE" and "PLEASE FURTHER NOTE" in all-caps mid-paragraph is dated drafting. Modern practice prefers bolding rather than capitalisation.</w:t>
      </w:r>
    </w:p>
    <w:p xmlns:wp14="http://schemas.microsoft.com/office/word/2010/wordml" wp14:paraId="74346499" wp14:textId="668E0301">
      <w:r w:rsidRPr="044FFA77" w:rsidR="288895E0">
        <w:rPr>
          <w:rFonts w:ascii="Aptos" w:hAnsi="Aptos" w:eastAsia="Aptos" w:cs="Aptos"/>
          <w:noProof w:val="0"/>
          <w:sz w:val="24"/>
          <w:szCs w:val="24"/>
          <w:lang w:val="en-US"/>
        </w:rPr>
        <w:t>3.6 The placeholder list at the end is helpful but should not form part of the despatched notice — it is a drafter's checklist only. This should be clearly marked as such or removed from the final version.</w:t>
      </w:r>
    </w:p>
    <w:p xmlns:wp14="http://schemas.microsoft.com/office/word/2010/wordml" wp14:paraId="48075CC9" wp14:textId="1963338D">
      <w:r w:rsidRPr="044FFA77" w:rsidR="288895E0">
        <w:rPr>
          <w:rFonts w:ascii="Aptos" w:hAnsi="Aptos" w:eastAsia="Aptos" w:cs="Aptos"/>
          <w:noProof w:val="0"/>
          <w:sz w:val="24"/>
          <w:szCs w:val="24"/>
          <w:lang w:val="en-US"/>
        </w:rPr>
        <w:t>3.7 The bullet at the end of the placeholder list has stray ** markdown asterisks ("…provided.**]") — a formatting error.</w:t>
      </w:r>
    </w:p>
    <w:p xmlns:wp14="http://schemas.microsoft.com/office/word/2010/wordml" wp14:paraId="6F0F1BEE" wp14:textId="1D85B284">
      <w:r w:rsidRPr="044FFA77" w:rsidR="288895E0">
        <w:rPr>
          <w:rFonts w:ascii="Aptos" w:hAnsi="Aptos" w:eastAsia="Aptos" w:cs="Aptos"/>
          <w:noProof w:val="0"/>
          <w:sz w:val="24"/>
          <w:szCs w:val="24"/>
          <w:lang w:val="en-US"/>
        </w:rPr>
        <w:t>IV. WHAT IS MISSING</w:t>
      </w:r>
    </w:p>
    <w:p xmlns:wp14="http://schemas.microsoft.com/office/word/2010/wordml" wp14:paraId="361B52D2" wp14:textId="45053F95">
      <w:r w:rsidRPr="044FFA77" w:rsidR="288895E0">
        <w:rPr>
          <w:rFonts w:ascii="Aptos" w:hAnsi="Aptos" w:eastAsia="Aptos" w:cs="Aptos"/>
          <w:noProof w:val="0"/>
          <w:sz w:val="24"/>
          <w:szCs w:val="24"/>
          <w:lang w:val="en-US"/>
        </w:rPr>
        <w:t>4.1 Cause-title / matter reference identifying the dispute (e.g., "In the matter of: Loan dated 15/01/2025 between [Client] and [Noticee]").</w:t>
      </w:r>
    </w:p>
    <w:p xmlns:wp14="http://schemas.microsoft.com/office/word/2010/wordml" wp14:paraId="747E9988" wp14:textId="04AB97C0">
      <w:r w:rsidRPr="044FFA77" w:rsidR="288895E0">
        <w:rPr>
          <w:rFonts w:ascii="Aptos" w:hAnsi="Aptos" w:eastAsia="Aptos" w:cs="Aptos"/>
          <w:noProof w:val="0"/>
          <w:sz w:val="24"/>
          <w:szCs w:val="24"/>
          <w:lang w:val="en-US"/>
        </w:rPr>
        <w:t>4.2 Schedule — paragraph 10.2 refers to "the property described in Schedule A", but no Schedule A is appended.</w:t>
      </w:r>
    </w:p>
    <w:p xmlns:wp14="http://schemas.microsoft.com/office/word/2010/wordml" wp14:paraId="429F8B43" wp14:textId="6378137C">
      <w:r w:rsidRPr="044FFA77" w:rsidR="288895E0">
        <w:rPr>
          <w:rFonts w:ascii="Aptos" w:hAnsi="Aptos" w:eastAsia="Aptos" w:cs="Aptos"/>
          <w:noProof w:val="0"/>
          <w:sz w:val="24"/>
          <w:szCs w:val="24"/>
          <w:lang w:val="en-US"/>
        </w:rPr>
        <w:t>4.3 Enclosures list — copies of cheque, return memo, agreement, etc., which would ordinarily be annexed.</w:t>
      </w:r>
    </w:p>
    <w:p xmlns:wp14="http://schemas.microsoft.com/office/word/2010/wordml" wp14:paraId="2224AA80" wp14:textId="407EC26F">
      <w:r w:rsidRPr="044FFA77" w:rsidR="288895E0">
        <w:rPr>
          <w:rFonts w:ascii="Aptos" w:hAnsi="Aptos" w:eastAsia="Aptos" w:cs="Aptos"/>
          <w:noProof w:val="0"/>
          <w:sz w:val="24"/>
          <w:szCs w:val="24"/>
          <w:lang w:val="en-US"/>
        </w:rPr>
        <w:t>4.4 Limitation reservation — a line preserving the client's position on limitation under the Limitation Act, 1963.</w:t>
      </w:r>
    </w:p>
    <w:p xmlns:wp14="http://schemas.microsoft.com/office/word/2010/wordml" wp14:paraId="4A179AA6" wp14:textId="4119B8B5">
      <w:r w:rsidRPr="044FFA77" w:rsidR="288895E0">
        <w:rPr>
          <w:rFonts w:ascii="Aptos" w:hAnsi="Aptos" w:eastAsia="Aptos" w:cs="Aptos"/>
          <w:noProof w:val="0"/>
          <w:sz w:val="24"/>
          <w:szCs w:val="24"/>
          <w:lang w:val="en-US"/>
        </w:rPr>
        <w:t>4.5 Jurisdiction clause is absent — the notice should mention the jurisdiction(s) in which proceedings will be filed, particularly important post the Supreme Court's ruling in Dashrath Rupsingh Rathod v. State of Maharashtra and the 2015 NI Act amendments for Section 138 matters.</w:t>
      </w:r>
    </w:p>
    <w:p xmlns:wp14="http://schemas.microsoft.com/office/word/2010/wordml" wp14:paraId="6AAA80CF" wp14:textId="7D550A55">
      <w:r w:rsidRPr="044FFA77" w:rsidR="288895E0">
        <w:rPr>
          <w:rFonts w:ascii="Aptos" w:hAnsi="Aptos" w:eastAsia="Aptos" w:cs="Aptos"/>
          <w:noProof w:val="0"/>
          <w:sz w:val="24"/>
          <w:szCs w:val="24"/>
          <w:lang w:val="en-US"/>
        </w:rPr>
        <w:t>V. CONCLUSION</w:t>
      </w:r>
    </w:p>
    <w:p xmlns:wp14="http://schemas.microsoft.com/office/word/2010/wordml" wp14:paraId="5AEDDCB8" wp14:textId="0994E4FC">
      <w:r w:rsidRPr="044FFA77" w:rsidR="288895E0">
        <w:rPr>
          <w:rFonts w:ascii="Aptos" w:hAnsi="Aptos" w:eastAsia="Aptos" w:cs="Aptos"/>
          <w:noProof w:val="0"/>
          <w:sz w:val="24"/>
          <w:szCs w:val="24"/>
          <w:lang w:val="en-US"/>
        </w:rPr>
        <w:t>The draft is usable as a generic template but is not yet a filing-ready notice. Before despatch:</w:t>
      </w:r>
    </w:p>
    <w:p xmlns:wp14="http://schemas.microsoft.com/office/word/2010/wordml" wp14:paraId="06910808" wp14:textId="5316E49B">
      <w:r w:rsidRPr="044FFA77" w:rsidR="288895E0">
        <w:rPr>
          <w:rFonts w:ascii="Aptos" w:hAnsi="Aptos" w:eastAsia="Aptos" w:cs="Aptos"/>
          <w:noProof w:val="0"/>
          <w:sz w:val="24"/>
          <w:szCs w:val="24"/>
          <w:lang w:val="en-US"/>
        </w:rPr>
        <w:t>(a) Remove the "Without Prejudice" tag; (b) Renumber paragraphs sequentially; (c) Pick one cause of action and trim reliefs accordingly; (d) Insert all factual particulars in place of placeholders; (e) Confirm the precise statutory provisions (BNS sections, NI Act, Contract Act sections) applicable; (f) Add Schedule A and enclosures if referred to; (g) Remove the drafter's checklist at the foot before despatch; and (h) Verify limitation and jurisdiction for the specific cause of action.</w:t>
      </w:r>
    </w:p>
    <w:p xmlns:wp14="http://schemas.microsoft.com/office/word/2010/wordml" wp14:paraId="5F43A60F" wp14:textId="75DEBD59">
      <w:r w:rsidRPr="044FFA77" w:rsidR="288895E0">
        <w:rPr>
          <w:rFonts w:ascii="Aptos" w:hAnsi="Aptos" w:eastAsia="Aptos" w:cs="Aptos"/>
          <w:noProof w:val="0"/>
          <w:sz w:val="24"/>
          <w:szCs w:val="24"/>
          <w:lang w:val="en-US"/>
        </w:rPr>
        <w:t>If you share the underlying facts and the precise nature of the dispute (recovery / cheque bounce / defamation / breach of agreement / cease-and-desist), I can produce a tailored, filing-ready notice with the correct statutory provisions and reliefs.</w:t>
      </w:r>
    </w:p>
    <w:p xmlns:wp14="http://schemas.microsoft.com/office/word/2010/wordml" wp14:paraId="4EAEA548" wp14:textId="15AA43FC">
      <w:r w:rsidRPr="044FFA77" w:rsidR="288895E0">
        <w:rPr>
          <w:rFonts w:ascii="Aptos" w:hAnsi="Aptos" w:eastAsia="Aptos" w:cs="Aptos"/>
          <w:noProof w:val="0"/>
          <w:sz w:val="24"/>
          <w:szCs w:val="24"/>
          <w:lang w:val="en-US"/>
        </w:rPr>
        <w:t>Yours faithfully,</w:t>
      </w:r>
    </w:p>
    <w:p xmlns:wp14="http://schemas.microsoft.com/office/word/2010/wordml" wp14:paraId="38033B19" wp14:textId="4876313F">
      <w:r w:rsidRPr="044FFA77" w:rsidR="288895E0">
        <w:rPr>
          <w:rFonts w:ascii="Aptos" w:hAnsi="Aptos" w:eastAsia="Aptos" w:cs="Aptos"/>
          <w:noProof w:val="0"/>
          <w:sz w:val="24"/>
          <w:szCs w:val="24"/>
          <w:lang w:val="en-US"/>
        </w:rPr>
        <w:t>Yuvraj Singh Advocate Lexlegis</w:t>
      </w:r>
    </w:p>
    <w:p xmlns:wp14="http://schemas.microsoft.com/office/word/2010/wordml" wp14:paraId="2C078E63" wp14:textId="04BCBE6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D9AE475"/>
    <w:rsid w:val="044FFA77"/>
    <w:rsid w:val="288895E0"/>
    <w:rsid w:val="4D9AE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09B83"/>
  <w15:chartTrackingRefBased/>
  <w15:docId w15:val="{E4BF1791-2008-449A-875F-3B0516D4BEA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2026-06-13T07:46:47.5846149Z</dcterms:created>
  <dcterms:modified xsi:type="dcterms:W3CDTF">2026-06-13T07:47:26.2090700Z</dcterms:modified>
  <dc:creator>Yuvraj Singh</dc:creator>
  <lastModifiedBy>Yuvraj Singh</lastModifiedBy>
</coreProperties>
</file>