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00000001">
      <w:pPr>
        <w:pStyle w:val="style0"/>
        <w:jc w:val="center"/>
        <w:rPr>
          <w:rFonts w:ascii="Cambria" w:cs="Cambria" w:eastAsia="Cambria" w:hAnsi="Cambria"/>
          <w:b/>
          <w:bCs/>
          <w:color w:val="000000"/>
          <w:sz w:val="32"/>
          <w:szCs w:val="32"/>
        </w:rPr>
      </w:pPr>
      <w:r>
        <w:rPr>
          <w:rFonts w:ascii="Cambria" w:cs="Cambria" w:eastAsia="Cambria" w:hAnsi="Cambria"/>
          <w:b/>
          <w:bCs/>
          <w:sz w:val="32"/>
          <w:szCs w:val="32"/>
        </w:rPr>
        <w:drawing>
          <wp:anchor distT="0" distB="0" distL="0" distR="0" simplePos="false" relativeHeight="2" behindDoc="false" locked="false" layoutInCell="true" allowOverlap="true">
            <wp:simplePos x="0" y="0"/>
            <wp:positionH relativeFrom="page">
              <wp:posOffset>495174</wp:posOffset>
            </wp:positionH>
            <wp:positionV relativeFrom="page">
              <wp:posOffset>133350</wp:posOffset>
            </wp:positionV>
            <wp:extent cx="1376362" cy="589870"/>
            <wp:effectExtent l="0" t="0" r="0" b="0"/>
            <wp:wrapNone/>
            <wp:docPr id="1026" name="image1.png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1376362" cy="589870"/>
                    </a:xfrm>
                    <a:prstGeom prst="rect"/>
                    <a:ln cmpd="sng" cap="flat" w="9525">
                      <a:solidFill>
                        <a:srgbClr val="000000"/>
                      </a:solidFill>
                      <a:prstDash val="solid"/>
                      <a:round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Cambria" w:cs="Cambria" w:eastAsia="Cambria" w:hAnsi="Cambria"/>
          <w:b/>
          <w:bCs/>
          <w:color w:val="000000"/>
          <w:sz w:val="32"/>
          <w:szCs w:val="32"/>
        </w:rPr>
        <w:t>Story</w:t>
      </w:r>
    </w:p>
    <w:p w14:paraId="00000002">
      <w:pPr>
        <w:pStyle w:val="style0"/>
        <w:spacing w:after="0"/>
        <w:jc w:val="center"/>
        <w:rPr>
          <w:rFonts w:ascii="Arial" w:cs="Arial" w:eastAsia="Arial" w:hAnsi="Arial"/>
          <w:b/>
          <w:bCs/>
        </w:rPr>
      </w:pPr>
    </w:p>
    <w:tbl>
      <w:tblPr>
        <w:tblStyle w:val="style4103"/>
        <w:tblW w:w="935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14:paraId="BC34FD5B">
        <w:trPr>
          <w:cantSplit w:val="false"/>
          <w:tblHeader w:val="false"/>
          <w:jc w:val="center"/>
        </w:trPr>
        <w:tc>
          <w:tcPr>
            <w:tcW w:w="0" w:type="auto"/>
            <w:tcBorders/>
          </w:tcPr>
          <w:p w14:paraId="00000003">
            <w:pPr>
              <w:pStyle w:val="style0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>Date</w:t>
            </w:r>
          </w:p>
        </w:tc>
        <w:tc>
          <w:tcPr>
            <w:tcW w:w="0" w:type="auto"/>
            <w:tcBorders/>
          </w:tcPr>
          <w:p w14:paraId="00000004">
            <w:pPr>
              <w:pStyle w:val="style0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lang w:val="en-US"/>
              </w:rPr>
              <w:t>18 August 2026</w:t>
            </w:r>
          </w:p>
        </w:tc>
      </w:tr>
      <w:tr w14:paraId="CE6195EF">
        <w:tblPrEx/>
        <w:trPr>
          <w:cantSplit w:val="false"/>
          <w:tblHeader w:val="false"/>
          <w:jc w:val="center"/>
        </w:trPr>
        <w:tc>
          <w:tcPr>
            <w:tcW w:w="0" w:type="auto"/>
            <w:tcBorders/>
          </w:tcPr>
          <w:p w14:paraId="00000005">
            <w:pPr>
              <w:pStyle w:val="style0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>Team ID</w:t>
            </w:r>
          </w:p>
        </w:tc>
        <w:tc>
          <w:tcPr>
            <w:tcW w:w="0" w:type="auto"/>
            <w:tcBorders/>
          </w:tcPr>
          <w:p w14:paraId="00000006">
            <w:pPr>
              <w:pStyle w:val="style0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>PNT2022TMIDxxxxxx</w:t>
            </w:r>
          </w:p>
        </w:tc>
      </w:tr>
      <w:tr w14:paraId="4B9AB83A">
        <w:tblPrEx/>
        <w:trPr>
          <w:cantSplit w:val="false"/>
          <w:tblHeader w:val="false"/>
          <w:jc w:val="center"/>
        </w:trPr>
        <w:tc>
          <w:tcPr>
            <w:tcW w:w="0" w:type="auto"/>
            <w:tcBorders/>
          </w:tcPr>
          <w:p w14:paraId="00000007">
            <w:pPr>
              <w:pStyle w:val="style0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>Project Name</w:t>
            </w:r>
          </w:p>
        </w:tc>
        <w:tc>
          <w:tcPr>
            <w:tcW w:w="0" w:type="auto"/>
            <w:tcBorders/>
          </w:tcPr>
          <w:p w14:paraId="00000008">
            <w:pPr>
              <w:pStyle w:val="style0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>Title</w:t>
            </w:r>
          </w:p>
        </w:tc>
      </w:tr>
      <w:tr w14:paraId="AB234BF0">
        <w:tblPrEx/>
        <w:trPr>
          <w:cantSplit w:val="false"/>
          <w:tblHeader w:val="false"/>
          <w:jc w:val="center"/>
        </w:trPr>
        <w:tc>
          <w:tcPr>
            <w:tcW w:w="0" w:type="auto"/>
            <w:tcBorders/>
          </w:tcPr>
          <w:p w14:paraId="00000009">
            <w:pPr>
              <w:pStyle w:val="style0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>Maximum Marks</w:t>
            </w:r>
          </w:p>
        </w:tc>
        <w:tc>
          <w:tcPr>
            <w:tcW w:w="0" w:type="auto"/>
            <w:tcBorders/>
          </w:tcPr>
          <w:p w14:paraId="0000000A">
            <w:pPr>
              <w:pStyle w:val="style0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>5 Marks</w:t>
            </w:r>
          </w:p>
        </w:tc>
      </w:tr>
    </w:tbl>
    <w:p w14:paraId="0000000B">
      <w:pPr>
        <w:pStyle w:val="style0"/>
        <w:rPr>
          <w:rFonts w:ascii="Cambria" w:cs="Cambria" w:eastAsia="Cambria" w:hAnsi="Cambria"/>
          <w:color w:val="000000"/>
          <w:sz w:val="24"/>
          <w:szCs w:val="24"/>
          <w:highlight w:val="white"/>
        </w:rPr>
      </w:pPr>
    </w:p>
    <w:p w14:paraId="0000000C">
      <w:pPr>
        <w:pStyle w:val="style0"/>
        <w:pBdr>
          <w:left w:val="nil"/>
          <w:right w:val="nil"/>
          <w:top w:val="nil"/>
          <w:bottom w:val="nil"/>
          <w:between w:val="nil"/>
        </w:pBdr>
        <w:spacing w:after="200" w:lineRule="auto" w:line="240"/>
        <w:ind w:left="284" w:firstLine="0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</w:rPr>
        <w:t>By using stories in Tableau, you can effectively communicate complex data in a way that is both interactive and engaging, making it easier for the audience to follow along and understand the insights.</w:t>
      </w:r>
      <w:r>
        <w:rPr/>
        <w:t xml:space="preserve"> </w:t>
      </w:r>
      <w:r>
        <w:rPr>
          <w:rFonts w:ascii="Calibri" w:cs="Calibri" w:eastAsia="Calibri" w:hAnsi="Calibri"/>
        </w:rPr>
        <w:t xml:space="preserve">It’s a tool for </w:t>
      </w:r>
      <w:r>
        <w:rPr>
          <w:rFonts w:ascii="Calibri" w:cs="Calibri" w:eastAsia="Calibri" w:hAnsi="Calibri"/>
          <w:b/>
          <w:bCs/>
        </w:rPr>
        <w:t>data storytelling</w:t>
      </w:r>
      <w:r>
        <w:rPr>
          <w:rFonts w:ascii="Calibri" w:cs="Calibri" w:eastAsia="Calibri" w:hAnsi="Calibri"/>
        </w:rPr>
        <w:t>, allowing you to present insights in a cohesive, engaging way that takes viewers through a logical progression of findings or analyses.</w:t>
      </w:r>
    </w:p>
    <w:p w14:paraId="0000000D">
      <w:pPr>
        <w:pStyle w:val="style0"/>
        <w:pBdr>
          <w:left w:val="nil"/>
          <w:right w:val="nil"/>
          <w:top w:val="nil"/>
          <w:bottom w:val="nil"/>
          <w:between w:val="nil"/>
        </w:pBdr>
        <w:spacing w:after="200" w:lineRule="auto" w:line="240"/>
        <w:ind w:left="284" w:firstLine="0"/>
        <w:jc w:val="both"/>
        <w:rPr>
          <w:sz w:val="20"/>
          <w:szCs w:val="20"/>
          <w:highlight w:val="white"/>
        </w:rPr>
      </w:pPr>
      <w:r>
        <w:rPr>
          <w:rFonts w:ascii="Calibri" w:cs="Calibri" w:eastAsia="Calibri" w:hAnsi="Calibri"/>
        </w:rPr>
        <w:t xml:space="preserve">In Tableau, </w:t>
      </w:r>
      <w:r>
        <w:rPr>
          <w:rFonts w:ascii="Calibri" w:cs="Calibri" w:eastAsia="Calibri" w:hAnsi="Calibri"/>
          <w:b/>
          <w:bCs/>
        </w:rPr>
        <w:t>Story</w:t>
      </w:r>
      <w:r>
        <w:rPr>
          <w:rFonts w:ascii="Calibri" w:cs="Calibri" w:eastAsia="Calibri" w:hAnsi="Calibri"/>
        </w:rPr>
        <w:t xml:space="preserve"> is a feature that allows you to create a sequence of dashboards, visualizations, and text to present data insights in a cohesive and narrative-driven way. It's like a slideshow within Tableau that guides the audience through a series of data points, helping them understand key insights, trends, or outcomes of your analysis.</w:t>
      </w:r>
      <w:r>
        <w:rPr>
          <w:sz w:val="20"/>
          <w:szCs w:val="20"/>
        </w:rPr>
        <w:t xml:space="preserve">                   </w:t>
      </w:r>
    </w:p>
    <w:p w14:paraId="0000000E">
      <w:pPr>
        <w:pStyle w:val="style0"/>
        <w:pBdr>
          <w:left w:val="nil"/>
          <w:right w:val="nil"/>
          <w:top w:val="nil"/>
          <w:bottom w:val="nil"/>
          <w:between w:val="nil"/>
        </w:pBdr>
        <w:spacing w:after="200" w:lineRule="auto" w:line="240"/>
        <w:ind w:left="1440" w:firstLine="0"/>
        <w:rPr>
          <w:rFonts w:ascii="Arial" w:cs="Arial" w:eastAsia="Arial" w:hAnsi="Arial"/>
          <w:color w:val="000000"/>
          <w:sz w:val="20"/>
          <w:szCs w:val="20"/>
        </w:rPr>
      </w:pPr>
    </w:p>
    <w:p w14:paraId="0000000F">
      <w:pPr>
        <w:pStyle w:val="style0"/>
        <w:pBdr>
          <w:left w:val="nil"/>
          <w:right w:val="nil"/>
          <w:top w:val="nil"/>
          <w:bottom w:val="nil"/>
          <w:between w:val="nil"/>
        </w:pBdr>
        <w:spacing w:after="200" w:lineRule="auto" w:line="240"/>
        <w:rPr>
          <w:rFonts w:ascii="Arial" w:cs="Arial" w:eastAsia="Arial" w:hAnsi="Arial"/>
          <w:color w:val="000000"/>
          <w:sz w:val="20"/>
          <w:szCs w:val="20"/>
        </w:rPr>
      </w:pPr>
      <w:r>
        <w:rPr>
          <w:rFonts w:ascii="Arial" w:cs="Arial" w:eastAsia="Arial" w:hAnsi="Arial"/>
          <w:color w:val="000000"/>
          <w:sz w:val="20"/>
          <w:szCs w:val="20"/>
        </w:rPr>
        <w:drawing>
          <wp:inline distL="0" distT="0" distB="0" distR="0">
            <wp:extent cx="5731510" cy="2878455"/>
            <wp:effectExtent l="0" t="0" r="0" b="0"/>
            <wp:docPr id="1027" name="image2.png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5731510" cy="2878455"/>
                    </a:xfrm>
                    <a:prstGeom prst="rect"/>
                    <a:ln cmpd="sng" cap="flat" w="9525">
                      <a:solidFill>
                        <a:srgbClr val="000000"/>
                      </a:solidFill>
                      <a:prstDash val="solid"/>
                      <a:round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000010">
      <w:pPr>
        <w:pStyle w:val="style0"/>
        <w:pBdr>
          <w:left w:val="nil"/>
          <w:right w:val="nil"/>
          <w:top w:val="nil"/>
          <w:bottom w:val="nil"/>
          <w:between w:val="nil"/>
        </w:pBdr>
        <w:spacing w:after="200" w:lineRule="auto" w:line="240"/>
        <w:rPr>
          <w:rFonts w:ascii="Arial" w:cs="Arial" w:eastAsia="Arial" w:hAnsi="Arial"/>
          <w:color w:val="000000"/>
          <w:sz w:val="20"/>
          <w:szCs w:val="20"/>
        </w:rPr>
      </w:pPr>
    </w:p>
    <w:p w14:paraId="00000011">
      <w:pPr>
        <w:pStyle w:val="style0"/>
        <w:pBdr>
          <w:left w:val="nil"/>
          <w:right w:val="nil"/>
          <w:top w:val="nil"/>
          <w:bottom w:val="nil"/>
          <w:between w:val="nil"/>
        </w:pBdr>
        <w:spacing w:after="200" w:lineRule="auto" w:line="240"/>
        <w:rPr>
          <w:rFonts w:ascii="Arial" w:cs="Arial" w:eastAsia="Arial" w:hAnsi="Arial"/>
          <w:color w:val="000000"/>
          <w:sz w:val="20"/>
          <w:szCs w:val="20"/>
        </w:rPr>
      </w:pPr>
      <w:r>
        <w:rPr>
          <w:rFonts w:ascii="Arial" w:cs="Arial" w:eastAsia="Arial" w:hAnsi="Arial"/>
          <w:color w:val="000000"/>
          <w:sz w:val="20"/>
          <w:szCs w:val="20"/>
        </w:rPr>
        <w:t>Observations:</w:t>
      </w:r>
    </w:p>
    <w:p w14:paraId="00000012">
      <w:pPr>
        <w:pStyle w:val="style0"/>
        <w:keepNext w:val="false"/>
        <w:keepLines w:val="false"/>
        <w:pageBreakBefore w:val="false"/>
        <w:widowControl/>
        <w:numPr>
          <w:ilvl w:val="0"/>
          <w:numId w:val="1"/>
        </w:numPr>
        <w:pBdr>
          <w:left w:val="nil"/>
          <w:right w:val="nil"/>
          <w:top w:val="nil"/>
          <w:bottom w:val="nil"/>
          <w:between w:val="nil"/>
        </w:pBdr>
        <w:shd w:val="clear" w:color="auto" w:fill="auto"/>
        <w:spacing w:before="0" w:after="0" w:lineRule="auto" w:line="240"/>
        <w:ind w:left="720" w:right="0" w:hanging="360"/>
        <w:jc w:val="left"/>
        <w:rPr>
          <w:rFonts w:ascii="Arial" w:cs="Arial" w:eastAsia="Arial" w:hAnsi="Arial"/>
          <w:b w:val="false"/>
          <w:bCs w:val="false"/>
          <w:i w:val="false"/>
          <w:iCs w:val="false"/>
          <w:smallCaps w:val="false"/>
          <w:color w:val="000000"/>
          <w:sz w:val="20"/>
          <w:szCs w:val="20"/>
          <w:u w:val="none"/>
          <w:shd w:val="clear" w:color="auto" w:fill="auto"/>
          <w:vertAlign w:val="baseline"/>
        </w:rPr>
      </w:pPr>
      <w:r>
        <w:rPr>
          <w:rFonts w:ascii="Arial" w:cs="Arial" w:eastAsia="Arial" w:hAnsi="Arial"/>
          <w:b/>
          <w:bCs/>
          <w:i w:val="false"/>
          <w:iCs w:val="false"/>
          <w:smallCaps w:val="false"/>
          <w:color w:val="000000"/>
          <w:sz w:val="20"/>
          <w:szCs w:val="20"/>
          <w:u w:val="none"/>
          <w:shd w:val="clear" w:color="auto" w:fill="auto"/>
          <w:vertAlign w:val="baseline"/>
        </w:rPr>
        <w:t>Technology Category Leads in Profit</w:t>
      </w:r>
      <w:r>
        <w:rPr>
          <w:rFonts w:ascii="Arial" w:cs="Arial" w:eastAsia="Arial" w:hAnsi="Arial"/>
          <w:b w:val="false"/>
          <w:bCs w:val="false"/>
          <w:i w:val="false"/>
          <w:iCs w:val="false"/>
          <w:smallCaps w:val="false"/>
          <w:color w:val="000000"/>
          <w:sz w:val="20"/>
          <w:szCs w:val="20"/>
          <w:u w:val="none"/>
          <w:shd w:val="clear" w:color="auto" w:fill="auto"/>
          <w:vertAlign w:val="baseline"/>
        </w:rPr>
        <w:t>: The Technology category is generating the highest profit among all categories.</w:t>
      </w:r>
    </w:p>
    <w:p w14:paraId="00000013">
      <w:pPr>
        <w:pStyle w:val="style0"/>
        <w:keepNext w:val="false"/>
        <w:keepLines w:val="false"/>
        <w:pageBreakBefore w:val="false"/>
        <w:widowControl/>
        <w:numPr>
          <w:ilvl w:val="0"/>
          <w:numId w:val="1"/>
        </w:numPr>
        <w:pBdr>
          <w:left w:val="nil"/>
          <w:right w:val="nil"/>
          <w:top w:val="nil"/>
          <w:bottom w:val="nil"/>
          <w:between w:val="nil"/>
        </w:pBdr>
        <w:shd w:val="clear" w:color="auto" w:fill="auto"/>
        <w:spacing w:before="0" w:after="0" w:lineRule="auto" w:line="240"/>
        <w:ind w:left="720" w:right="0" w:hanging="360"/>
        <w:jc w:val="left"/>
        <w:rPr>
          <w:rFonts w:ascii="Arial" w:cs="Arial" w:eastAsia="Arial" w:hAnsi="Arial"/>
          <w:b w:val="false"/>
          <w:bCs w:val="false"/>
          <w:i w:val="false"/>
          <w:iCs w:val="false"/>
          <w:smallCaps w:val="false"/>
          <w:color w:val="000000"/>
          <w:sz w:val="20"/>
          <w:szCs w:val="20"/>
          <w:u w:val="none"/>
          <w:shd w:val="clear" w:color="auto" w:fill="auto"/>
          <w:vertAlign w:val="baseline"/>
        </w:rPr>
      </w:pPr>
      <w:r>
        <w:rPr>
          <w:rFonts w:ascii="Arial" w:cs="Arial" w:eastAsia="Arial" w:hAnsi="Arial"/>
          <w:b/>
          <w:bCs/>
          <w:i w:val="false"/>
          <w:iCs w:val="false"/>
          <w:smallCaps w:val="false"/>
          <w:color w:val="000000"/>
          <w:sz w:val="20"/>
          <w:szCs w:val="20"/>
          <w:u w:val="none"/>
          <w:shd w:val="clear" w:color="auto" w:fill="auto"/>
          <w:vertAlign w:val="baseline"/>
        </w:rPr>
        <w:t>Seasonal Sales Trend</w:t>
      </w:r>
      <w:r>
        <w:rPr>
          <w:rFonts w:ascii="Arial" w:cs="Arial" w:eastAsia="Arial" w:hAnsi="Arial"/>
          <w:b w:val="false"/>
          <w:bCs w:val="false"/>
          <w:i w:val="false"/>
          <w:iCs w:val="false"/>
          <w:smallCaps w:val="false"/>
          <w:color w:val="000000"/>
          <w:sz w:val="20"/>
          <w:szCs w:val="20"/>
          <w:u w:val="none"/>
          <w:shd w:val="clear" w:color="auto" w:fill="auto"/>
          <w:vertAlign w:val="baseline"/>
        </w:rPr>
        <w:t>: Sales peak in November, while February sees the lowest sales, indicating a possible seasonal trend.</w:t>
      </w:r>
    </w:p>
    <w:p w14:paraId="00000014">
      <w:pPr>
        <w:pStyle w:val="style0"/>
        <w:keepNext w:val="false"/>
        <w:keepLines w:val="false"/>
        <w:pageBreakBefore w:val="false"/>
        <w:widowControl/>
        <w:numPr>
          <w:ilvl w:val="0"/>
          <w:numId w:val="1"/>
        </w:numPr>
        <w:pBdr>
          <w:left w:val="nil"/>
          <w:right w:val="nil"/>
          <w:top w:val="nil"/>
          <w:bottom w:val="nil"/>
          <w:between w:val="nil"/>
        </w:pBdr>
        <w:shd w:val="clear" w:color="auto" w:fill="auto"/>
        <w:spacing w:before="0" w:after="0" w:lineRule="auto" w:line="240"/>
        <w:ind w:left="720" w:right="0" w:hanging="360"/>
        <w:jc w:val="left"/>
        <w:rPr>
          <w:rFonts w:ascii="Arial" w:cs="Arial" w:eastAsia="Arial" w:hAnsi="Arial"/>
          <w:b w:val="false"/>
          <w:bCs w:val="false"/>
          <w:i w:val="false"/>
          <w:iCs w:val="false"/>
          <w:smallCaps w:val="false"/>
          <w:color w:val="000000"/>
          <w:sz w:val="20"/>
          <w:szCs w:val="20"/>
          <w:u w:val="none"/>
          <w:shd w:val="clear" w:color="auto" w:fill="auto"/>
          <w:vertAlign w:val="baseline"/>
        </w:rPr>
      </w:pPr>
      <w:r>
        <w:rPr>
          <w:rFonts w:ascii="Arial" w:cs="Arial" w:eastAsia="Arial" w:hAnsi="Arial"/>
          <w:b/>
          <w:bCs/>
          <w:i w:val="false"/>
          <w:iCs w:val="false"/>
          <w:smallCaps w:val="false"/>
          <w:color w:val="000000"/>
          <w:sz w:val="20"/>
          <w:szCs w:val="20"/>
          <w:u w:val="none"/>
          <w:shd w:val="clear" w:color="auto" w:fill="auto"/>
          <w:vertAlign w:val="baseline"/>
        </w:rPr>
        <w:t>Consumer Segment Dominates</w:t>
      </w:r>
      <w:r>
        <w:rPr>
          <w:rFonts w:ascii="Arial" w:cs="Arial" w:eastAsia="Arial" w:hAnsi="Arial"/>
          <w:b w:val="false"/>
          <w:bCs w:val="false"/>
          <w:i w:val="false"/>
          <w:iCs w:val="false"/>
          <w:smallCaps w:val="false"/>
          <w:color w:val="000000"/>
          <w:sz w:val="20"/>
          <w:szCs w:val="20"/>
          <w:u w:val="none"/>
          <w:shd w:val="clear" w:color="auto" w:fill="auto"/>
          <w:vertAlign w:val="baseline"/>
        </w:rPr>
        <w:t>: The Consumer segment contributes to the highest percentage of sales, accounting for 50.56%.</w:t>
      </w:r>
    </w:p>
    <w:p w14:paraId="00000015">
      <w:pPr>
        <w:pStyle w:val="style0"/>
        <w:keepNext w:val="false"/>
        <w:keepLines w:val="false"/>
        <w:pageBreakBefore w:val="false"/>
        <w:widowControl/>
        <w:numPr>
          <w:ilvl w:val="0"/>
          <w:numId w:val="1"/>
        </w:numPr>
        <w:pBdr>
          <w:left w:val="nil"/>
          <w:right w:val="nil"/>
          <w:top w:val="nil"/>
          <w:bottom w:val="nil"/>
          <w:between w:val="nil"/>
        </w:pBdr>
        <w:shd w:val="clear" w:color="auto" w:fill="auto"/>
        <w:spacing w:before="0" w:after="200" w:lineRule="auto" w:line="240"/>
        <w:ind w:left="720" w:right="0" w:hanging="360"/>
        <w:jc w:val="left"/>
        <w:rPr/>
      </w:pPr>
      <w:r>
        <w:rPr>
          <w:rFonts w:ascii="Arial" w:cs="Arial" w:eastAsia="Arial" w:hAnsi="Arial"/>
          <w:b/>
          <w:bCs/>
          <w:i w:val="false"/>
          <w:iCs w:val="false"/>
          <w:smallCaps w:val="false"/>
          <w:color w:val="000000"/>
          <w:sz w:val="20"/>
          <w:szCs w:val="20"/>
          <w:u w:val="none"/>
          <w:shd w:val="clear" w:color="auto" w:fill="auto"/>
          <w:vertAlign w:val="baseline"/>
        </w:rPr>
        <w:t>Top Revenue-Generating Product</w:t>
      </w:r>
      <w:r>
        <w:rPr>
          <w:rFonts w:ascii="Arial" w:cs="Arial" w:eastAsia="Arial" w:hAnsi="Arial"/>
          <w:b w:val="false"/>
          <w:bCs w:val="false"/>
          <w:i w:val="false"/>
          <w:iCs w:val="false"/>
          <w:smallCaps w:val="false"/>
          <w:color w:val="000000"/>
          <w:sz w:val="20"/>
          <w:szCs w:val="20"/>
          <w:u w:val="none"/>
          <w:shd w:val="clear" w:color="auto" w:fill="auto"/>
          <w:vertAlign w:val="baseline"/>
        </w:rPr>
        <w:t>: Chairs from the Furniture category generate the highest revenue, totaling 1.66M.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mallCaps w:val="false"/>
          <w:color w:val="000000"/>
          <w:sz w:val="22"/>
          <w:szCs w:val="22"/>
          <w:u w:val="none"/>
          <w:shd w:val="clear" w:color="auto" w:fill="auto"/>
          <w:vertAlign w:val="baseline"/>
        </w:rPr>
        <w:t xml:space="preserve"> </w:t>
      </w:r>
    </w:p>
    <w:p w14:paraId="00000016">
      <w:pPr>
        <w:pStyle w:val="style0"/>
        <w:keepNext w:val="false"/>
        <w:keepLines w:val="false"/>
        <w:pageBreakBefore w:val="false"/>
        <w:widowControl/>
        <w:pBdr>
          <w:left w:val="nil"/>
          <w:right w:val="nil"/>
          <w:top w:val="nil"/>
          <w:bottom w:val="nil"/>
          <w:between w:val="nil"/>
        </w:pBdr>
        <w:shd w:val="clear" w:color="auto" w:fill="auto"/>
        <w:spacing w:before="0" w:after="200" w:lineRule="auto" w:line="240"/>
        <w:ind w:right="0"/>
        <w:jc w:val="left"/>
        <w:rPr/>
      </w:pPr>
    </w:p>
    <w:p w14:paraId="00000017">
      <w:pPr>
        <w:pStyle w:val="style0"/>
        <w:keepNext w:val="false"/>
        <w:keepLines w:val="false"/>
        <w:pageBreakBefore w:val="false"/>
        <w:widowControl/>
        <w:pBdr>
          <w:left w:val="nil"/>
          <w:right w:val="nil"/>
          <w:top w:val="nil"/>
          <w:bottom w:val="nil"/>
          <w:between w:val="nil"/>
        </w:pBdr>
        <w:shd w:val="clear" w:color="auto" w:fill="auto"/>
        <w:spacing w:before="0" w:after="200" w:lineRule="auto" w:line="240"/>
        <w:ind w:right="0"/>
        <w:jc w:val="left"/>
        <w:rPr/>
      </w:pPr>
    </w:p>
    <w:p w14:paraId="00000018">
      <w:pPr>
        <w:pStyle w:val="style0"/>
        <w:keepNext w:val="false"/>
        <w:keepLines w:val="false"/>
        <w:pageBreakBefore w:val="false"/>
        <w:widowControl/>
        <w:pBdr>
          <w:left w:val="nil"/>
          <w:right w:val="nil"/>
          <w:top w:val="nil"/>
          <w:bottom w:val="nil"/>
          <w:between w:val="nil"/>
        </w:pBdr>
        <w:shd w:val="clear" w:color="auto" w:fill="auto"/>
        <w:spacing w:before="0" w:after="200" w:lineRule="auto" w:line="240"/>
        <w:ind w:right="0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Activity 2:</w:t>
      </w:r>
    </w:p>
    <w:p w14:paraId="00000019">
      <w:pPr>
        <w:pStyle w:val="style0"/>
        <w:keepNext w:val="false"/>
        <w:keepLines w:val="false"/>
        <w:pageBreakBefore w:val="false"/>
        <w:widowControl/>
        <w:pBdr>
          <w:left w:val="nil"/>
          <w:right w:val="nil"/>
          <w:top w:val="nil"/>
          <w:bottom w:val="nil"/>
          <w:between w:val="nil"/>
        </w:pBdr>
        <w:shd w:val="clear" w:color="auto" w:fill="auto"/>
        <w:spacing w:before="0" w:after="200" w:lineRule="auto" w:line="240"/>
        <w:ind w:right="0"/>
        <w:jc w:val="left"/>
        <w:rPr/>
      </w:pPr>
      <w:r>
        <w:rPr/>
        <w:t>Publish Story on Tableau Public and Paste Public link below</w:t>
      </w:r>
    </w:p>
    <w:p w14:paraId="0000001A">
      <w:pPr>
        <w:pStyle w:val="style0"/>
        <w:keepNext w:val="false"/>
        <w:keepLines w:val="false"/>
        <w:pageBreakBefore w:val="false"/>
        <w:widowControl/>
        <w:pBdr>
          <w:left w:val="nil"/>
          <w:right w:val="nil"/>
          <w:top w:val="nil"/>
          <w:bottom w:val="nil"/>
          <w:between w:val="nil"/>
        </w:pBdr>
        <w:shd w:val="clear" w:color="auto" w:fill="auto"/>
        <w:spacing w:before="0" w:after="200" w:lineRule="auto" w:line="240"/>
        <w:ind w:right="0"/>
        <w:jc w:val="left"/>
        <w:rPr/>
      </w:pPr>
      <w:r>
        <w:rPr/>
        <w:t xml:space="preserve">https://public.tableau.com/views/Book1_17878260642250/Story1?:language=en-US&amp;:sid=&amp;:redirect=auth&amp;:display_count=n&amp;:origin=viz_share_link </w:t>
      </w:r>
    </w:p>
    <w:sectPr>
      <w:pgSz w:w="11906" w:h="16838" w:orient="portrait"/>
      <w:pgMar w:top="1440" w:right="1440" w:bottom="1440" w:left="144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altName w:val="Arial"/>
    <w:panose1 w:val="020b0604020002020204"/>
    <w:charset w:val="01"/>
    <w:family w:val="swiss"/>
    <w:pitch w:val="default"/>
    <w:sig w:usb0="00007A87" w:usb1="80000000" w:usb2="00000008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embedTrueTypeFonts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720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Rule="auto" w:line="259"/>
      </w:pPr>
    </w:pPrDefault>
  </w:docDefaults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customStyle="1" w:styleId="style4099">
    <w:name w:val="normal"/>
    <w:next w:val="style4099"/>
    <w:pPr/>
  </w:style>
  <w:style w:type="paragraph" w:styleId="style1">
    <w:name w:val="heading 1"/>
    <w:basedOn w:val="style4099"/>
    <w:next w:val="style4099"/>
    <w:pPr>
      <w:keepNext/>
      <w:keepLines/>
      <w:spacing w:before="480" w:after="120"/>
    </w:pPr>
    <w:rPr>
      <w:b/>
      <w:bCs/>
      <w:sz w:val="48"/>
      <w:szCs w:val="48"/>
    </w:rPr>
  </w:style>
  <w:style w:type="paragraph" w:styleId="style2">
    <w:name w:val="heading 2"/>
    <w:basedOn w:val="style4099"/>
    <w:next w:val="style4099"/>
    <w:pPr>
      <w:keepNext/>
      <w:keepLines/>
      <w:spacing w:before="360" w:after="80"/>
    </w:pPr>
    <w:rPr>
      <w:b/>
      <w:bCs/>
      <w:sz w:val="36"/>
      <w:szCs w:val="36"/>
    </w:rPr>
  </w:style>
  <w:style w:type="paragraph" w:styleId="style3">
    <w:name w:val="heading 3"/>
    <w:basedOn w:val="style4099"/>
    <w:next w:val="style4099"/>
    <w:pPr>
      <w:keepNext/>
      <w:keepLines/>
      <w:spacing w:before="280" w:after="80"/>
    </w:pPr>
    <w:rPr>
      <w:b/>
      <w:bCs/>
      <w:sz w:val="28"/>
      <w:szCs w:val="28"/>
    </w:rPr>
  </w:style>
  <w:style w:type="paragraph" w:styleId="style4">
    <w:name w:val="heading 4"/>
    <w:basedOn w:val="style4099"/>
    <w:next w:val="style4099"/>
    <w:pPr>
      <w:keepNext/>
      <w:keepLines/>
      <w:spacing w:before="240" w:after="40"/>
    </w:pPr>
    <w:rPr>
      <w:b/>
      <w:bCs/>
      <w:sz w:val="24"/>
      <w:szCs w:val="24"/>
    </w:rPr>
  </w:style>
  <w:style w:type="paragraph" w:styleId="style5">
    <w:name w:val="heading 5"/>
    <w:basedOn w:val="style4099"/>
    <w:next w:val="style4099"/>
    <w:pPr>
      <w:keepNext/>
      <w:keepLines/>
      <w:spacing w:before="220" w:after="40"/>
    </w:pPr>
    <w:rPr>
      <w:b/>
      <w:bCs/>
    </w:rPr>
  </w:style>
  <w:style w:type="paragraph" w:styleId="style6">
    <w:name w:val="heading 6"/>
    <w:basedOn w:val="style4099"/>
    <w:next w:val="style4099"/>
    <w:pPr>
      <w:keepNext/>
      <w:keepLines/>
      <w:spacing w:before="200" w:after="40"/>
    </w:pPr>
    <w:rPr>
      <w:b/>
      <w:bCs/>
      <w:sz w:val="20"/>
      <w:szCs w:val="20"/>
    </w:rPr>
  </w:style>
  <w:style w:type="paragraph" w:styleId="style62">
    <w:name w:val="Title"/>
    <w:basedOn w:val="style4099"/>
    <w:next w:val="style4099"/>
    <w:pPr>
      <w:keepNext/>
      <w:keepLines/>
      <w:spacing w:before="480" w:after="120"/>
    </w:pPr>
    <w:rPr>
      <w:b/>
      <w:bCs/>
      <w:sz w:val="72"/>
      <w:szCs w:val="72"/>
    </w:rPr>
  </w:style>
  <w:style w:type="character" w:default="1" w:styleId="style65">
    <w:name w:val="Default Paragraph Font"/>
    <w:next w:val="style65"/>
    <w:uiPriority w:val="1"/>
  </w:style>
  <w:style w:type="numbering" w:default="1" w:styleId="style107">
    <w:name w:val="No List"/>
    <w:next w:val="style107"/>
    <w:uiPriority w:val="99"/>
    <w:pPr/>
  </w:style>
  <w:style w:type="character" w:styleId="style85">
    <w:name w:val="Hyperlink"/>
    <w:basedOn w:val="style65"/>
    <w:next w:val="style85"/>
    <w:uiPriority w:val="99"/>
    <w:rPr>
      <w:color w:val="0563c1"/>
      <w:u w:val="single"/>
    </w:rPr>
  </w:style>
  <w:style w:type="table" w:customStyle="1" w:styleId="style4101">
    <w:basedOn w:val="style105"/>
    <w:next w:val="style4101"/>
    <w:pPr>
      <w:spacing w:after="0" w:lineRule="auto" w:line="240"/>
    </w:pPr>
    <w:rPr/>
    <w:tblPr>
      <w:tblStyleRowBandSize w:val="1"/>
      <w:tblStyleColBandSize w:val="1"/>
    </w:tblPr>
    <w:tcPr>
      <w:tcBorders/>
    </w:tcPr>
  </w:style>
  <w:style w:type="paragraph" w:styleId="style94">
    <w:name w:val="Normal (Web)"/>
    <w:basedOn w:val="style4099"/>
    <w:next w:val="style94"/>
    <w:uiPriority w:val="99"/>
    <w:pPr>
      <w:spacing w:before="100" w:beforeAutospacing="true" w:after="100" w:afterAutospacing="true" w:lineRule="auto" w:line="240"/>
    </w:pPr>
    <w:rPr>
      <w:rFonts w:ascii="Times New Roman" w:cs="Times New Roman" w:eastAsia="Times New Roman" w:hAnsi="Times New Roman"/>
      <w:sz w:val="24"/>
      <w:szCs w:val="24"/>
    </w:rPr>
  </w:style>
  <w:style w:type="character" w:styleId="style87">
    <w:name w:val="Strong"/>
    <w:basedOn w:val="style65"/>
    <w:next w:val="style87"/>
    <w:qFormat/>
    <w:uiPriority w:val="22"/>
    <w:rPr>
      <w:b/>
      <w:bCs/>
    </w:rPr>
  </w:style>
  <w:style w:type="paragraph" w:styleId="style179">
    <w:name w:val="List Paragraph"/>
    <w:basedOn w:val="style4099"/>
    <w:next w:val="style179"/>
    <w:qFormat/>
    <w:uiPriority w:val="34"/>
    <w:pPr>
      <w:ind w:left="720"/>
      <w:contextualSpacing/>
    </w:pPr>
    <w:rPr/>
  </w:style>
  <w:style w:type="table" w:customStyle="1" w:styleId="style4103">
    <w:basedOn w:val="style105"/>
    <w:next w:val="style4103"/>
    <w:pPr>
      <w:spacing w:after="0" w:lineRule="auto" w:line="240"/>
    </w:pPr>
    <w:rPr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74">
    <w:name w:val="Subtitle"/>
    <w:basedOn w:val="style4099"/>
    <w:next w:val="style4099"/>
    <w:pPr>
      <w:keepNext/>
      <w:keepLines/>
      <w:spacing w:before="360" w:after="80"/>
    </w:pPr>
    <w:rPr>
      <w:rFonts w:ascii="Georgia" w:cs="Georgia" w:eastAsia="Georgia" w:hAnsi="Georgia"/>
      <w:i/>
      <w:iCs/>
      <w:color w:val="666666"/>
      <w:sz w:val="48"/>
      <w:szCs w:val="48"/>
    </w:rPr>
  </w:style>
  <w:style w:type="paragraph" w:default="1" w:styleId="style0">
    <w:name w:val="Normal"/>
    <w:pPr>
      <w:jc w:val="both"/>
    </w:pPr>
    <w:rPr>
      <w:sz w:val="21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styles" Target="styles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Words>208</Words>
  <Characters>1295</Characters>
  <Application>WPS Office</Application>
  <Paragraphs>30</Paragraphs>
  <CharactersWithSpaces>1505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2026-09-06T09:32:41Z</dcterms:created>
  <dc:creator>SmarBridge ML</dc:creator>
  <lastModifiedBy>Redmi Note 10 Lite</lastModifiedBy>
  <dcterms:modified xsi:type="dcterms:W3CDTF">2026-09-06T09:32:41Z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e695b99712b448a182e8c2d872c26f6b_23</vt:lpwstr>
  </property>
</Properties>
</file>