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rPr>
          <w:rFonts w:ascii="Cambria" w:cs="Cambria" w:eastAsia="Cambria" w:hAnsi="Cambria"/>
          <w:b/>
          <w:bCs/>
          <w:sz w:val="32"/>
          <w:szCs w:val="32"/>
          <w:highlight w:val="white"/>
        </w:rPr>
      </w:pPr>
      <w:r>
        <w:rPr>
          <w:rFonts w:ascii="Cambria" w:cs="Cambria" w:eastAsia="Cambria" w:hAnsi="Cambria"/>
          <w:b/>
          <w:bCs/>
          <w:sz w:val="32"/>
          <w:szCs w:val="32"/>
          <w:highlight w:val="white"/>
        </w:rPr>
        <w:drawing>
          <wp:anchor distT="0" distB="0" distL="0" distR="0" simplePos="false" relativeHeight="2" behindDoc="false" locked="false" layoutInCell="true" allowOverlap="true">
            <wp:simplePos x="0" y="0"/>
            <wp:positionH relativeFrom="page">
              <wp:posOffset>428625</wp:posOffset>
            </wp:positionH>
            <wp:positionV relativeFrom="page">
              <wp:posOffset>114300</wp:posOffset>
            </wp:positionV>
            <wp:extent cx="1376362" cy="589870"/>
            <wp:effectExtent l="0" t="0" r="0" b="0"/>
            <wp:wrapNone/>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1376362" cy="589870"/>
                    </a:xfrm>
                    <a:prstGeom prst="rect"/>
                    <a:ln cmpd="sng" cap="flat" w="9525">
                      <a:solidFill>
                        <a:srgbClr val="000000"/>
                      </a:solidFill>
                      <a:prstDash val="solid"/>
                      <a:round/>
                      <a:headEnd len="med" w="med" type="none"/>
                      <a:tailEnd len="med" w="med" type="none"/>
                    </a:ln>
                  </pic:spPr>
                </pic:pic>
              </a:graphicData>
            </a:graphic>
          </wp:anchor>
        </w:drawing>
      </w:r>
      <w:r>
        <w:rPr>
          <w:rFonts w:ascii="Cambria" w:cs="Cambria" w:eastAsia="Cambria" w:hAnsi="Cambria"/>
          <w:b/>
          <w:bCs/>
          <w:color w:val="000000"/>
          <w:sz w:val="32"/>
          <w:szCs w:val="32"/>
          <w:highlight w:val="white"/>
        </w:rPr>
        <w:t xml:space="preserve">                                      Dashboard Design</w:t>
      </w:r>
    </w:p>
    <w:p w14:paraId="00000002">
      <w:pPr>
        <w:pStyle w:val="style0"/>
        <w:widowControl w:val="false"/>
        <w:spacing w:before="39" w:after="0" w:lineRule="auto" w:line="240"/>
        <w:ind w:left="2701" w:firstLine="0"/>
        <w:rPr>
          <w:b/>
          <w:bCs/>
          <w:sz w:val="28"/>
          <w:szCs w:val="28"/>
        </w:rPr>
      </w:pPr>
    </w:p>
    <w:tbl>
      <w:tblPr>
        <w:tblStyle w:val="style4099"/>
        <w:tblW w:w="9018" w:type="dxa"/>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14:paraId="C8F8813A">
        <w:trPr>
          <w:cantSplit w:val="false"/>
          <w:trHeight w:val="278" w:hRule="atLeast"/>
          <w:tblHeader w:val="false"/>
          <w:jc w:val="left"/>
        </w:trPr>
        <w:tc>
          <w:tcPr>
            <w:tcW w:w="0" w:type="auto"/>
            <w:tcBorders/>
            <w:shd w:val="clear" w:color="auto" w:fill="auto"/>
            <w:tcMar>
              <w:top w:w="100" w:type="dxa"/>
              <w:left w:w="100" w:type="dxa"/>
              <w:bottom w:w="100" w:type="dxa"/>
              <w:right w:w="100" w:type="dxa"/>
            </w:tcMar>
          </w:tcPr>
          <w:p w14:paraId="00000003">
            <w:pPr>
              <w:pStyle w:val="style0"/>
              <w:widowControl w:val="false"/>
              <w:spacing w:after="0" w:lineRule="auto" w:line="240"/>
              <w:ind w:left="131" w:firstLine="0"/>
              <w:rPr/>
            </w:pPr>
            <w:r>
              <w:t xml:space="preserve">Date </w:t>
            </w:r>
          </w:p>
        </w:tc>
        <w:tc>
          <w:tcPr>
            <w:tcW w:w="0" w:type="auto"/>
            <w:tcBorders/>
            <w:shd w:val="clear" w:color="auto" w:fill="auto"/>
            <w:tcMar>
              <w:top w:w="100" w:type="dxa"/>
              <w:left w:w="100" w:type="dxa"/>
              <w:bottom w:w="100" w:type="dxa"/>
              <w:right w:w="100" w:type="dxa"/>
            </w:tcMar>
          </w:tcPr>
          <w:p w14:paraId="00000004">
            <w:pPr>
              <w:pStyle w:val="style0"/>
              <w:widowControl w:val="false"/>
              <w:spacing w:after="0" w:lineRule="auto" w:line="240"/>
              <w:ind w:left="131" w:firstLine="0"/>
              <w:rPr/>
            </w:pPr>
            <w:r>
              <w:rPr>
                <w:lang w:val="en-US"/>
              </w:rPr>
              <w:t>18 August 2026</w:t>
            </w:r>
          </w:p>
        </w:tc>
      </w:tr>
      <w:tr w14:paraId="82B086BF">
        <w:tblPrEx/>
        <w:trPr>
          <w:cantSplit w:val="false"/>
          <w:trHeight w:val="278" w:hRule="atLeast"/>
          <w:tblHeader w:val="false"/>
          <w:jc w:val="left"/>
        </w:trPr>
        <w:tc>
          <w:tcPr>
            <w:tcW w:w="0" w:type="auto"/>
            <w:tcBorders/>
            <w:shd w:val="clear" w:color="auto" w:fill="auto"/>
            <w:tcMar>
              <w:top w:w="100" w:type="dxa"/>
              <w:left w:w="100" w:type="dxa"/>
              <w:bottom w:w="100" w:type="dxa"/>
              <w:right w:w="100" w:type="dxa"/>
            </w:tcMar>
          </w:tcPr>
          <w:p w14:paraId="00000005">
            <w:pPr>
              <w:pStyle w:val="style0"/>
              <w:widowControl w:val="false"/>
              <w:spacing w:after="0" w:lineRule="auto" w:line="240"/>
              <w:ind w:left="114" w:firstLine="0"/>
              <w:rPr/>
            </w:pPr>
            <w:r>
              <w:t xml:space="preserve">Team ID </w:t>
            </w:r>
          </w:p>
        </w:tc>
        <w:tc>
          <w:tcPr>
            <w:tcW w:w="0" w:type="auto"/>
            <w:tcBorders/>
            <w:shd w:val="clear" w:color="auto" w:fill="auto"/>
            <w:tcMar>
              <w:top w:w="100" w:type="dxa"/>
              <w:left w:w="100" w:type="dxa"/>
              <w:bottom w:w="100" w:type="dxa"/>
              <w:right w:w="100" w:type="dxa"/>
            </w:tcMar>
          </w:tcPr>
          <w:p w14:paraId="00000006">
            <w:pPr>
              <w:pStyle w:val="style0"/>
              <w:widowControl w:val="false"/>
              <w:spacing w:after="0" w:lineRule="auto" w:line="240"/>
              <w:ind w:left="131" w:firstLine="0"/>
              <w:rPr/>
            </w:pPr>
            <w:r>
              <w:t>PNT2022TMIDxxxxxx</w:t>
            </w:r>
          </w:p>
        </w:tc>
      </w:tr>
      <w:tr w14:paraId="4E23D784">
        <w:tblPrEx/>
        <w:trPr>
          <w:cantSplit w:val="false"/>
          <w:trHeight w:val="278" w:hRule="atLeast"/>
          <w:tblHeader w:val="false"/>
          <w:jc w:val="left"/>
        </w:trPr>
        <w:tc>
          <w:tcPr>
            <w:tcW w:w="0" w:type="auto"/>
            <w:tcBorders/>
            <w:shd w:val="clear" w:color="auto" w:fill="auto"/>
            <w:tcMar>
              <w:top w:w="100" w:type="dxa"/>
              <w:left w:w="100" w:type="dxa"/>
              <w:bottom w:w="100" w:type="dxa"/>
              <w:right w:w="100" w:type="dxa"/>
            </w:tcMar>
          </w:tcPr>
          <w:p w14:paraId="00000007">
            <w:pPr>
              <w:pStyle w:val="style0"/>
              <w:widowControl w:val="false"/>
              <w:spacing w:after="0" w:lineRule="auto" w:line="240"/>
              <w:ind w:left="131" w:firstLine="0"/>
              <w:rPr/>
            </w:pPr>
            <w:r>
              <w:t xml:space="preserve">Project Name </w:t>
            </w:r>
          </w:p>
        </w:tc>
        <w:tc>
          <w:tcPr>
            <w:tcW w:w="0" w:type="auto"/>
            <w:tcBorders/>
            <w:shd w:val="clear" w:color="auto" w:fill="auto"/>
            <w:tcMar>
              <w:top w:w="100" w:type="dxa"/>
              <w:left w:w="100" w:type="dxa"/>
              <w:bottom w:w="100" w:type="dxa"/>
              <w:right w:w="100" w:type="dxa"/>
            </w:tcMar>
          </w:tcPr>
          <w:p w14:paraId="00000008">
            <w:pPr>
              <w:pStyle w:val="style0"/>
              <w:widowControl w:val="false"/>
              <w:spacing w:after="0" w:lineRule="auto" w:line="240"/>
              <w:ind w:left="131" w:firstLine="0"/>
              <w:rPr/>
            </w:pPr>
            <w:r>
              <w:t>Title of Project</w:t>
            </w:r>
          </w:p>
        </w:tc>
      </w:tr>
      <w:tr w14:paraId="97303109">
        <w:tblPrEx/>
        <w:trPr>
          <w:cantSplit w:val="false"/>
          <w:trHeight w:val="278" w:hRule="atLeast"/>
          <w:tblHeader w:val="false"/>
          <w:jc w:val="left"/>
        </w:trPr>
        <w:tc>
          <w:tcPr>
            <w:tcW w:w="0" w:type="auto"/>
            <w:tcBorders/>
            <w:shd w:val="clear" w:color="auto" w:fill="auto"/>
            <w:tcMar>
              <w:top w:w="100" w:type="dxa"/>
              <w:left w:w="100" w:type="dxa"/>
              <w:bottom w:w="100" w:type="dxa"/>
              <w:right w:w="100" w:type="dxa"/>
            </w:tcMar>
          </w:tcPr>
          <w:p w14:paraId="00000009">
            <w:pPr>
              <w:pStyle w:val="style0"/>
              <w:widowControl w:val="false"/>
              <w:spacing w:after="0" w:lineRule="auto" w:line="240"/>
              <w:ind w:left="131" w:firstLine="0"/>
              <w:rPr/>
            </w:pPr>
            <w:r>
              <w:t xml:space="preserve">Maximum Marks </w:t>
            </w:r>
          </w:p>
        </w:tc>
        <w:tc>
          <w:tcPr>
            <w:tcW w:w="0" w:type="auto"/>
            <w:tcBorders/>
            <w:shd w:val="clear" w:color="auto" w:fill="auto"/>
            <w:tcMar>
              <w:top w:w="100" w:type="dxa"/>
              <w:left w:w="100" w:type="dxa"/>
              <w:bottom w:w="100" w:type="dxa"/>
              <w:right w:w="100" w:type="dxa"/>
            </w:tcMar>
          </w:tcPr>
          <w:p w14:paraId="0000000A">
            <w:pPr>
              <w:pStyle w:val="style0"/>
              <w:widowControl w:val="false"/>
              <w:spacing w:after="0" w:lineRule="auto" w:line="240"/>
              <w:ind w:left="125" w:firstLine="0"/>
              <w:rPr/>
            </w:pPr>
            <w:r>
              <w:t>5  Marks</w:t>
            </w:r>
          </w:p>
        </w:tc>
      </w:tr>
    </w:tbl>
    <w:p w14:paraId="0000000B">
      <w:pPr>
        <w:pStyle w:val="style0"/>
        <w:widowControl w:val="false"/>
        <w:spacing w:after="0" w:lineRule="auto" w:line="276"/>
        <w:rPr>
          <w:rFonts w:ascii="Cambria" w:cs="Cambria" w:eastAsia="Cambria" w:hAnsi="Cambria"/>
          <w:b/>
          <w:bCs/>
          <w:sz w:val="32"/>
          <w:szCs w:val="32"/>
          <w:highlight w:val="white"/>
        </w:rPr>
      </w:pPr>
    </w:p>
    <w:p w14:paraId="0000000C">
      <w:pPr>
        <w:pStyle w:val="style0"/>
        <w:rPr>
          <w:rFonts w:ascii="Cambria" w:cs="Cambria" w:eastAsia="Cambria" w:hAnsi="Cambria"/>
          <w:color w:val="000000"/>
          <w:sz w:val="24"/>
          <w:szCs w:val="24"/>
          <w:highlight w:val="white"/>
        </w:rPr>
      </w:pPr>
      <w:r>
        <w:rPr>
          <w:rFonts w:ascii="Cambria" w:cs="Cambria" w:eastAsia="Cambria" w:hAnsi="Cambria"/>
          <w:color w:val="000000"/>
          <w:sz w:val="24"/>
          <w:szCs w:val="24"/>
          <w:highlight w:val="white"/>
        </w:rPr>
        <w:t>Creating an effective dashboard involves thoughtful design to ensure that the presented information is clear, relevant, and easily understandable for the intended audience. Here are some key principles and best practices for dashboard design</w:t>
      </w:r>
    </w:p>
    <w:p w14:paraId="0000000D">
      <w:pPr>
        <w:pStyle w:val="style0"/>
        <w:rPr>
          <w:rFonts w:ascii="Cambria" w:cs="Cambria" w:eastAsia="Cambria" w:hAnsi="Cambria"/>
          <w:b/>
          <w:bCs/>
          <w:color w:val="000000"/>
          <w:sz w:val="24"/>
          <w:szCs w:val="24"/>
          <w:highlight w:val="white"/>
        </w:rPr>
      </w:pPr>
      <w:r>
        <w:rPr>
          <w:rFonts w:ascii="Cambria" w:cs="Cambria" w:eastAsia="Cambria" w:hAnsi="Cambria"/>
          <w:b/>
          <w:bCs/>
          <w:color w:val="000000"/>
          <w:sz w:val="32"/>
          <w:szCs w:val="32"/>
          <w:highlight w:val="white"/>
        </w:rPr>
        <w:tab/>
      </w:r>
      <w:r>
        <w:rPr>
          <w:rFonts w:ascii="Cambria" w:cs="Cambria" w:eastAsia="Cambria" w:hAnsi="Cambria"/>
          <w:b/>
          <w:bCs/>
          <w:color w:val="000000"/>
          <w:sz w:val="24"/>
          <w:szCs w:val="24"/>
          <w:highlight w:val="white"/>
        </w:rPr>
        <w:t xml:space="preserve">Activity 1: Interactive and visually appealing dashboards </w:t>
      </w:r>
    </w:p>
    <w:p w14:paraId="0000000E">
      <w:pPr>
        <w:pStyle w:val="style0"/>
        <w:ind w:left="720" w:firstLine="0"/>
        <w:rPr>
          <w:rFonts w:ascii="Cambria" w:cs="Cambria" w:eastAsia="Cambria" w:hAnsi="Cambria"/>
          <w:color w:val="000000"/>
          <w:sz w:val="24"/>
          <w:szCs w:val="24"/>
          <w:highlight w:val="white"/>
        </w:rPr>
      </w:pPr>
      <w:r>
        <w:rPr>
          <w:rFonts w:ascii="Cambria" w:cs="Cambria" w:eastAsia="Cambria" w:hAnsi="Cambria"/>
          <w:color w:val="000000"/>
          <w:sz w:val="24"/>
          <w:szCs w:val="24"/>
          <w:highlight w:val="white"/>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14:paraId="0000000F">
      <w:pPr>
        <w:pStyle w:val="style0"/>
        <w:numPr>
          <w:ilvl w:val="0"/>
          <w:numId w:val="1"/>
        </w:numPr>
        <w:pBdr>
          <w:left w:val="nil"/>
          <w:right w:val="nil"/>
          <w:top w:val="nil"/>
          <w:bottom w:val="nil"/>
          <w:between w:val="nil"/>
        </w:pBdr>
        <w:spacing w:after="0"/>
        <w:ind w:left="1440" w:hanging="360"/>
        <w:rPr>
          <w:rFonts w:ascii="Cambria" w:cs="Cambria" w:eastAsia="Cambria" w:hAnsi="Cambria"/>
          <w:color w:val="000000"/>
          <w:sz w:val="24"/>
          <w:szCs w:val="24"/>
          <w:highlight w:val="white"/>
        </w:rPr>
      </w:pPr>
      <w:r>
        <w:rPr>
          <w:rFonts w:ascii="Cambria" w:cs="Cambria" w:eastAsia="Cambria" w:hAnsi="Cambria"/>
          <w:color w:val="000000"/>
          <w:sz w:val="24"/>
          <w:szCs w:val="24"/>
          <w:highlight w:val="white"/>
        </w:rPr>
        <w:t>Clear and Intuitive Layout</w:t>
      </w:r>
    </w:p>
    <w:p w14:paraId="00000010">
      <w:pPr>
        <w:pStyle w:val="style0"/>
        <w:numPr>
          <w:ilvl w:val="0"/>
          <w:numId w:val="1"/>
        </w:numPr>
        <w:pBdr>
          <w:left w:val="nil"/>
          <w:right w:val="nil"/>
          <w:top w:val="nil"/>
          <w:bottom w:val="nil"/>
          <w:between w:val="nil"/>
        </w:pBdr>
        <w:spacing w:after="0"/>
        <w:ind w:left="1440" w:hanging="360"/>
        <w:rPr>
          <w:rFonts w:ascii="Cambria" w:cs="Cambria" w:eastAsia="Cambria" w:hAnsi="Cambria"/>
          <w:color w:val="000000"/>
          <w:sz w:val="24"/>
          <w:szCs w:val="24"/>
          <w:highlight w:val="white"/>
        </w:rPr>
      </w:pPr>
      <w:r>
        <w:rPr>
          <w:rFonts w:ascii="Cambria" w:cs="Cambria" w:eastAsia="Cambria" w:hAnsi="Cambria"/>
          <w:color w:val="000000"/>
          <w:sz w:val="24"/>
          <w:szCs w:val="24"/>
          <w:highlight w:val="white"/>
        </w:rPr>
        <w:t>Use Appropriate Visualizations</w:t>
      </w:r>
    </w:p>
    <w:p w14:paraId="00000011">
      <w:pPr>
        <w:pStyle w:val="style0"/>
        <w:numPr>
          <w:ilvl w:val="0"/>
          <w:numId w:val="1"/>
        </w:numPr>
        <w:pBdr>
          <w:left w:val="nil"/>
          <w:right w:val="nil"/>
          <w:top w:val="nil"/>
          <w:bottom w:val="nil"/>
          <w:between w:val="nil"/>
        </w:pBdr>
        <w:spacing w:after="0"/>
        <w:ind w:left="1440" w:hanging="360"/>
        <w:rPr>
          <w:rFonts w:ascii="Cambria" w:cs="Cambria" w:eastAsia="Cambria" w:hAnsi="Cambria"/>
          <w:color w:val="000000"/>
          <w:sz w:val="24"/>
          <w:szCs w:val="24"/>
          <w:highlight w:val="white"/>
        </w:rPr>
      </w:pPr>
      <w:r>
        <w:rPr>
          <w:rFonts w:ascii="Cambria" w:cs="Cambria" w:eastAsia="Cambria" w:hAnsi="Cambria"/>
          <w:color w:val="000000"/>
          <w:sz w:val="24"/>
          <w:szCs w:val="24"/>
          <w:highlight w:val="white"/>
        </w:rPr>
        <w:t>Colour and Theming</w:t>
      </w:r>
    </w:p>
    <w:p w14:paraId="00000012">
      <w:pPr>
        <w:pStyle w:val="style0"/>
        <w:numPr>
          <w:ilvl w:val="0"/>
          <w:numId w:val="1"/>
        </w:numPr>
        <w:pBdr>
          <w:left w:val="nil"/>
          <w:right w:val="nil"/>
          <w:top w:val="nil"/>
          <w:bottom w:val="nil"/>
          <w:between w:val="nil"/>
        </w:pBdr>
        <w:spacing w:after="0"/>
        <w:ind w:left="1440" w:hanging="360"/>
        <w:rPr>
          <w:rFonts w:ascii="Cambria" w:cs="Cambria" w:eastAsia="Cambria" w:hAnsi="Cambria"/>
          <w:color w:val="000000"/>
          <w:sz w:val="24"/>
          <w:szCs w:val="24"/>
          <w:highlight w:val="white"/>
        </w:rPr>
      </w:pPr>
      <w:r>
        <w:rPr>
          <w:rFonts w:ascii="Cambria" w:cs="Cambria" w:eastAsia="Cambria" w:hAnsi="Cambria"/>
          <w:color w:val="000000"/>
          <w:sz w:val="24"/>
          <w:szCs w:val="24"/>
          <w:highlight w:val="white"/>
        </w:rPr>
        <w:t>Interactive Filters and Slicers</w:t>
      </w:r>
    </w:p>
    <w:p w14:paraId="00000013">
      <w:pPr>
        <w:pStyle w:val="style0"/>
        <w:numPr>
          <w:ilvl w:val="0"/>
          <w:numId w:val="1"/>
        </w:numPr>
        <w:pBdr>
          <w:left w:val="nil"/>
          <w:right w:val="nil"/>
          <w:top w:val="nil"/>
          <w:bottom w:val="nil"/>
          <w:between w:val="nil"/>
        </w:pBdr>
        <w:spacing w:after="0"/>
        <w:ind w:left="1440" w:hanging="360"/>
        <w:rPr>
          <w:rFonts w:ascii="Cambria" w:cs="Cambria" w:eastAsia="Cambria" w:hAnsi="Cambria"/>
          <w:color w:val="000000"/>
          <w:sz w:val="24"/>
          <w:szCs w:val="24"/>
          <w:highlight w:val="white"/>
        </w:rPr>
      </w:pPr>
      <w:r>
        <w:rPr>
          <w:rFonts w:ascii="Cambria" w:cs="Cambria" w:eastAsia="Cambria" w:hAnsi="Cambria"/>
          <w:color w:val="000000"/>
          <w:sz w:val="24"/>
          <w:szCs w:val="24"/>
          <w:highlight w:val="white"/>
        </w:rPr>
        <w:t>Drill-Down Capabilities</w:t>
      </w:r>
    </w:p>
    <w:p w14:paraId="00000014">
      <w:pPr>
        <w:pStyle w:val="style0"/>
        <w:numPr>
          <w:ilvl w:val="0"/>
          <w:numId w:val="1"/>
        </w:numPr>
        <w:pBdr>
          <w:left w:val="nil"/>
          <w:right w:val="nil"/>
          <w:top w:val="nil"/>
          <w:bottom w:val="nil"/>
          <w:between w:val="nil"/>
        </w:pBdr>
        <w:spacing w:after="0"/>
        <w:ind w:left="1440" w:hanging="360"/>
        <w:rPr>
          <w:rFonts w:ascii="Cambria" w:cs="Cambria" w:eastAsia="Cambria" w:hAnsi="Cambria"/>
          <w:color w:val="000000"/>
          <w:sz w:val="24"/>
          <w:szCs w:val="24"/>
          <w:highlight w:val="white"/>
        </w:rPr>
      </w:pPr>
      <w:r>
        <w:rPr>
          <w:rFonts w:ascii="Cambria" w:cs="Cambria" w:eastAsia="Cambria" w:hAnsi="Cambria"/>
          <w:color w:val="000000"/>
          <w:sz w:val="24"/>
          <w:szCs w:val="24"/>
          <w:highlight w:val="white"/>
        </w:rPr>
        <w:t>Responsive Design</w:t>
      </w:r>
    </w:p>
    <w:p w14:paraId="00000015">
      <w:pPr>
        <w:pStyle w:val="style0"/>
        <w:numPr>
          <w:ilvl w:val="0"/>
          <w:numId w:val="1"/>
        </w:numPr>
        <w:pBdr>
          <w:left w:val="nil"/>
          <w:right w:val="nil"/>
          <w:top w:val="nil"/>
          <w:bottom w:val="nil"/>
          <w:between w:val="nil"/>
        </w:pBdr>
        <w:spacing w:after="0"/>
        <w:ind w:left="1440" w:hanging="360"/>
        <w:rPr>
          <w:rFonts w:ascii="Cambria" w:cs="Cambria" w:eastAsia="Cambria" w:hAnsi="Cambria"/>
          <w:color w:val="000000"/>
          <w:sz w:val="24"/>
          <w:szCs w:val="24"/>
          <w:highlight w:val="white"/>
        </w:rPr>
      </w:pPr>
      <w:r>
        <w:rPr>
          <w:rFonts w:ascii="Cambria" w:cs="Cambria" w:eastAsia="Cambria" w:hAnsi="Cambria"/>
          <w:color w:val="000000"/>
          <w:sz w:val="24"/>
          <w:szCs w:val="24"/>
          <w:highlight w:val="white"/>
        </w:rPr>
        <w:t>Custom Visuals and Icons</w:t>
      </w:r>
    </w:p>
    <w:p w14:paraId="00000016">
      <w:pPr>
        <w:pStyle w:val="style0"/>
        <w:numPr>
          <w:ilvl w:val="0"/>
          <w:numId w:val="1"/>
        </w:numPr>
        <w:pBdr>
          <w:left w:val="nil"/>
          <w:right w:val="nil"/>
          <w:top w:val="nil"/>
          <w:bottom w:val="nil"/>
          <w:between w:val="nil"/>
        </w:pBdr>
        <w:ind w:left="1440" w:hanging="360"/>
        <w:rPr>
          <w:rFonts w:ascii="Cambria" w:cs="Cambria" w:eastAsia="Cambria" w:hAnsi="Cambria"/>
          <w:color w:val="000000"/>
          <w:sz w:val="24"/>
          <w:szCs w:val="24"/>
          <w:highlight w:val="white"/>
        </w:rPr>
      </w:pPr>
      <w:r>
        <w:rPr>
          <w:rFonts w:ascii="Cambria" w:cs="Cambria" w:eastAsia="Cambria" w:hAnsi="Cambria"/>
          <w:color w:val="000000"/>
          <w:sz w:val="24"/>
          <w:szCs w:val="24"/>
          <w:highlight w:val="white"/>
        </w:rPr>
        <w:t>Use of Infographics</w:t>
      </w:r>
    </w:p>
    <w:p w14:paraId="00000017">
      <w:pPr>
        <w:pStyle w:val="style0"/>
        <w:pBdr>
          <w:left w:val="nil"/>
          <w:right w:val="nil"/>
          <w:top w:val="nil"/>
          <w:bottom w:val="nil"/>
          <w:between w:val="nil"/>
        </w:pBdr>
        <w:spacing w:lineRule="auto" w:line="240"/>
        <w:ind w:left="1080" w:firstLine="0"/>
        <w:rPr>
          <w:rFonts w:ascii="Arial" w:cs="Arial" w:eastAsia="Arial" w:hAnsi="Arial"/>
          <w:color w:val="333333"/>
          <w:sz w:val="20"/>
          <w:szCs w:val="20"/>
        </w:rPr>
      </w:pPr>
    </w:p>
    <w:p w14:paraId="00000018">
      <w:pPr>
        <w:pStyle w:val="style0"/>
        <w:spacing w:after="200" w:lineRule="auto" w:line="240"/>
        <w:rPr>
          <w:rFonts w:ascii="Arial" w:cs="Arial" w:eastAsia="Arial" w:hAnsi="Arial"/>
          <w:sz w:val="20"/>
          <w:szCs w:val="20"/>
        </w:rPr>
      </w:pPr>
      <w:r>
        <w:rPr/>
        <w:drawing>
          <wp:inline distL="0" distT="0" distB="0" distR="0">
            <wp:extent cx="5731200" cy="2857500"/>
            <wp:effectExtent l="0" t="0" r="0" b="0"/>
            <wp:docPr id="1027"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3" cstate="print"/>
                    <a:srcRect l="0" t="0" r="0" b="0"/>
                    <a:stretch/>
                  </pic:blipFill>
                  <pic:spPr>
                    <a:xfrm rot="0">
                      <a:off x="0" y="0"/>
                      <a:ext cx="5731200" cy="2857500"/>
                    </a:xfrm>
                    <a:prstGeom prst="rect"/>
                    <a:ln cmpd="sng" cap="flat" w="9525">
                      <a:solidFill>
                        <a:srgbClr val="000000"/>
                      </a:solidFill>
                      <a:prstDash val="solid"/>
                      <a:round/>
                      <a:headEnd len="med" w="med" type="none"/>
                      <a:tailEnd len="med" w="med" type="none"/>
                    </a:ln>
                  </pic:spPr>
                </pic:pic>
              </a:graphicData>
            </a:graphic>
          </wp:inline>
        </w:drawing>
      </w:r>
    </w:p>
    <w:p w14:paraId="00000019">
      <w:pPr>
        <w:pStyle w:val="style0"/>
        <w:spacing w:after="200" w:lineRule="auto" w:line="240"/>
        <w:rPr>
          <w:rFonts w:ascii="Arial" w:cs="Arial" w:eastAsia="Arial" w:hAnsi="Arial"/>
          <w:sz w:val="20"/>
          <w:szCs w:val="20"/>
        </w:rPr>
      </w:pPr>
      <w:r>
        <w:rPr>
          <w:rFonts w:ascii="Arial" w:cs="Arial" w:eastAsia="Arial" w:hAnsi="Arial"/>
          <w:b/>
          <w:bCs/>
          <w:sz w:val="20"/>
          <w:szCs w:val="20"/>
        </w:rPr>
        <w:t>Note:</w:t>
      </w:r>
      <w:r>
        <w:rPr>
          <w:rFonts w:ascii="Arial" w:cs="Arial" w:eastAsia="Arial" w:hAnsi="Arial"/>
          <w:sz w:val="20"/>
          <w:szCs w:val="20"/>
        </w:rPr>
        <w:t xml:space="preserve"> Highlight the major outcomes in form of bullet points </w:t>
      </w:r>
    </w:p>
    <w:p w14:paraId="0000001A">
      <w:pPr>
        <w:pStyle w:val="style0"/>
        <w:spacing w:after="200" w:lineRule="auto" w:line="240"/>
        <w:rPr/>
      </w:pPr>
      <w:r>
        <w:t>Sample:</w:t>
      </w:r>
    </w:p>
    <w:p w14:paraId="0000001B">
      <w:pPr>
        <w:pStyle w:val="style0"/>
        <w:spacing w:after="200" w:lineRule="auto" w:line="240"/>
        <w:rPr/>
      </w:pPr>
      <w:r>
        <w:t>Here are five potential outcomes from the dashboard image provided:</w:t>
      </w:r>
    </w:p>
    <w:p w14:paraId="0000001C">
      <w:pPr>
        <w:pStyle w:val="style0"/>
        <w:numPr>
          <w:ilvl w:val="0"/>
          <w:numId w:val="2"/>
        </w:numPr>
        <w:spacing w:before="240" w:after="0" w:lineRule="auto" w:line="240"/>
        <w:ind w:left="720" w:hanging="360"/>
        <w:rPr>
          <w:u w:val="none"/>
        </w:rPr>
      </w:pPr>
      <w:r>
        <w:rPr>
          <w:b/>
          <w:bCs/>
        </w:rPr>
        <w:t>Customer Count and Sales Overview</w:t>
      </w:r>
      <w:r>
        <w:t>:The dashboard reports a total of 9,994 customers, with cumulative sales of 2.30M, a profit of 286.40K, and revenue of 11.49M. These figures highlight the overall scale and profitability of the store’s operations.</w:t>
      </w:r>
    </w:p>
    <w:p w14:paraId="0000001D">
      <w:pPr>
        <w:pStyle w:val="style0"/>
        <w:numPr>
          <w:ilvl w:val="0"/>
          <w:numId w:val="2"/>
        </w:numPr>
        <w:spacing w:before="0" w:after="0" w:lineRule="auto" w:line="240"/>
        <w:ind w:left="720" w:hanging="360"/>
        <w:rPr>
          <w:u w:val="none"/>
        </w:rPr>
      </w:pPr>
      <w:r>
        <w:rPr>
          <w:b/>
          <w:bCs/>
        </w:rPr>
        <w:t>Highest Sales</w:t>
      </w:r>
      <w:r>
        <w:t>: Copiers and Machines are the top-selling products, with sales values of 2.199M and 1.646M, respectively. This suggests strong demand or high price points for these products.</w:t>
      </w:r>
    </w:p>
    <w:p w14:paraId="0000001E">
      <w:pPr>
        <w:pStyle w:val="style0"/>
        <w:numPr>
          <w:ilvl w:val="0"/>
          <w:numId w:val="2"/>
        </w:numPr>
        <w:spacing w:before="0" w:after="0" w:lineRule="auto" w:line="240"/>
        <w:ind w:left="720" w:hanging="360"/>
        <w:rPr>
          <w:u w:val="none"/>
        </w:rPr>
      </w:pPr>
      <w:r>
        <w:rPr>
          <w:b/>
          <w:bCs/>
        </w:rPr>
        <w:t>Peak Month</w:t>
      </w:r>
      <w:r>
        <w:t>: December has the highest monthly sales at 352.46K, likely due to holiday shopping.</w:t>
      </w:r>
    </w:p>
    <w:p w14:paraId="0000001F">
      <w:pPr>
        <w:pStyle w:val="style0"/>
        <w:numPr>
          <w:ilvl w:val="0"/>
          <w:numId w:val="2"/>
        </w:numPr>
        <w:spacing w:before="0" w:after="0" w:lineRule="auto" w:line="240"/>
        <w:ind w:left="720" w:hanging="360"/>
        <w:rPr>
          <w:u w:val="none"/>
        </w:rPr>
      </w:pPr>
      <w:r>
        <w:rPr>
          <w:b/>
          <w:bCs/>
        </w:rPr>
        <w:t>Seasonal Sales Growth</w:t>
      </w:r>
      <w:r>
        <w:t>:The monthly sales chart shows growth in specific months, such as March, September, October, and December, likely influenced by seasonal factors and sales events.</w:t>
      </w:r>
    </w:p>
    <w:p w14:paraId="00000020">
      <w:pPr>
        <w:pStyle w:val="style0"/>
        <w:numPr>
          <w:ilvl w:val="0"/>
          <w:numId w:val="2"/>
        </w:numPr>
        <w:spacing w:before="0" w:after="240" w:lineRule="auto" w:line="240"/>
        <w:ind w:left="720" w:hanging="360"/>
        <w:rPr>
          <w:u w:val="none"/>
        </w:rPr>
      </w:pPr>
      <w:r>
        <w:rPr>
          <w:b/>
          <w:bCs/>
        </w:rPr>
        <w:t>Sales Distribution Across Segments</w:t>
      </w:r>
      <w:r>
        <w:t xml:space="preserve">: The </w:t>
      </w:r>
      <w:r>
        <w:rPr>
          <w:b/>
          <w:bCs/>
        </w:rPr>
        <w:t>Consumer segment</w:t>
      </w:r>
      <w:r>
        <w:t xml:space="preserve"> leads with 0.41M in sales, followed by Corporate at 0.25M, and Home Office at the lowest</w:t>
      </w:r>
    </w:p>
    <w:p w14:paraId="00000021">
      <w:pPr>
        <w:pStyle w:val="style0"/>
        <w:spacing w:before="240" w:after="240" w:lineRule="auto" w:line="240"/>
        <w:rPr/>
      </w:pPr>
    </w:p>
    <w:p w14:paraId="00000022">
      <w:pPr>
        <w:pStyle w:val="style0"/>
        <w:spacing w:before="240" w:after="240" w:lineRule="auto" w:line="240"/>
        <w:rPr/>
      </w:pPr>
    </w:p>
    <w:p w14:paraId="00000025">
      <w:pPr>
        <w:pStyle w:val="style0"/>
        <w:spacing w:after="200" w:lineRule="auto" w:line="240"/>
        <w:rPr>
          <w:sz w:val="28"/>
          <w:szCs w:val="28"/>
        </w:rPr>
      </w:pPr>
    </w:p>
    <w:p w14:paraId="00000026">
      <w:pPr>
        <w:pStyle w:val="style0"/>
        <w:spacing w:after="200" w:lineRule="auto" w:line="240"/>
        <w:rPr>
          <w:sz w:val="28"/>
          <w:szCs w:val="28"/>
        </w:rPr>
      </w:pPr>
      <w:r>
        <w:rPr>
          <w:sz w:val="28"/>
          <w:szCs w:val="28"/>
        </w:rPr>
        <w:t xml:space="preserve"> </w:t>
      </w:r>
    </w:p>
    <w:sectPr>
      <w:pgSz w:w="11906" w:h="16838" w:orient="portrait"/>
      <w:pgMar w:top="1440"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FFFFFFFF"/>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customStyle="1" w:styleId="style4097">
    <w:name w:val="normal"/>
    <w:next w:val="style4097"/>
    <w:pPr/>
  </w:style>
  <w:style w:type="paragraph" w:styleId="style1">
    <w:name w:val="heading 1"/>
    <w:basedOn w:val="style4097"/>
    <w:next w:val="style4097"/>
    <w:pPr>
      <w:keepNext/>
      <w:keepLines/>
      <w:spacing w:before="480" w:after="120"/>
    </w:pPr>
    <w:rPr>
      <w:b/>
      <w:bCs/>
      <w:sz w:val="48"/>
      <w:szCs w:val="48"/>
    </w:rPr>
  </w:style>
  <w:style w:type="paragraph" w:styleId="style2">
    <w:name w:val="heading 2"/>
    <w:basedOn w:val="style4097"/>
    <w:next w:val="style4097"/>
    <w:pPr>
      <w:keepNext/>
      <w:keepLines/>
      <w:spacing w:before="360" w:after="80"/>
    </w:pPr>
    <w:rPr>
      <w:b/>
      <w:bCs/>
      <w:sz w:val="36"/>
      <w:szCs w:val="36"/>
    </w:rPr>
  </w:style>
  <w:style w:type="paragraph" w:styleId="style3">
    <w:name w:val="heading 3"/>
    <w:basedOn w:val="style4097"/>
    <w:next w:val="style4097"/>
    <w:pPr>
      <w:keepNext/>
      <w:keepLines/>
      <w:spacing w:before="280" w:after="80"/>
    </w:pPr>
    <w:rPr>
      <w:b/>
      <w:bCs/>
      <w:sz w:val="28"/>
      <w:szCs w:val="28"/>
    </w:rPr>
  </w:style>
  <w:style w:type="paragraph" w:styleId="style4">
    <w:name w:val="heading 4"/>
    <w:basedOn w:val="style4097"/>
    <w:next w:val="style4097"/>
    <w:pPr>
      <w:keepNext/>
      <w:keepLines/>
      <w:spacing w:before="240" w:after="40"/>
    </w:pPr>
    <w:rPr>
      <w:b/>
      <w:bCs/>
      <w:sz w:val="24"/>
      <w:szCs w:val="24"/>
    </w:rPr>
  </w:style>
  <w:style w:type="paragraph" w:styleId="style5">
    <w:name w:val="heading 5"/>
    <w:basedOn w:val="style4097"/>
    <w:next w:val="style4097"/>
    <w:pPr>
      <w:keepNext/>
      <w:keepLines/>
      <w:spacing w:before="220" w:after="40"/>
    </w:pPr>
    <w:rPr>
      <w:b/>
      <w:bCs/>
    </w:rPr>
  </w:style>
  <w:style w:type="paragraph" w:styleId="style6">
    <w:name w:val="heading 6"/>
    <w:basedOn w:val="style4097"/>
    <w:next w:val="style4097"/>
    <w:pPr>
      <w:keepNext/>
      <w:keepLines/>
      <w:spacing w:before="200" w:after="40"/>
    </w:pPr>
    <w:rPr>
      <w:b/>
      <w:bCs/>
      <w:sz w:val="20"/>
      <w:szCs w:val="20"/>
    </w:rPr>
  </w:style>
  <w:style w:type="paragraph" w:styleId="style62">
    <w:name w:val="Title"/>
    <w:basedOn w:val="style4097"/>
    <w:next w:val="style4097"/>
    <w:pPr>
      <w:keepNext/>
      <w:keepLines/>
      <w:spacing w:before="480" w:after="120"/>
    </w:pPr>
    <w:rPr>
      <w:b/>
      <w:bCs/>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character" w:styleId="style85">
    <w:name w:val="Hyperlink"/>
    <w:basedOn w:val="style65"/>
    <w:next w:val="style85"/>
    <w:uiPriority w:val="99"/>
    <w:rPr>
      <w:color w:val="0563c1"/>
      <w:u w:val="single"/>
    </w:rPr>
  </w:style>
  <w:style w:type="paragraph" w:styleId="style179">
    <w:name w:val="List Paragraph"/>
    <w:basedOn w:val="style4097"/>
    <w:next w:val="style179"/>
    <w:qFormat/>
    <w:uiPriority w:val="1"/>
    <w:pPr>
      <w:ind w:left="720"/>
      <w:contextualSpacing/>
    </w:pPr>
    <w:rPr/>
  </w:style>
  <w:style w:type="table" w:customStyle="1" w:styleId="style4098">
    <w:basedOn w:val="style105"/>
    <w:next w:val="style4098"/>
    <w:pPr/>
    <w:rPr/>
    <w:tblPr>
      <w:tblStyleRowBandSize w:val="1"/>
      <w:tblStyleColBandSize w:val="1"/>
      <w:tblCellMar>
        <w:top w:w="100" w:type="dxa"/>
        <w:left w:w="100" w:type="dxa"/>
        <w:bottom w:w="100" w:type="dxa"/>
        <w:right w:w="100" w:type="dxa"/>
      </w:tblCellMar>
    </w:tblPr>
    <w:tcPr>
      <w:tcBorders/>
    </w:tcPr>
  </w:style>
  <w:style w:type="table" w:customStyle="1" w:styleId="style4099">
    <w:basedOn w:val="style105"/>
    <w:next w:val="style4099"/>
    <w:pPr/>
    <w:rPr/>
    <w:tblPr>
      <w:tblStyleRowBandSize w:val="1"/>
      <w:tblStyleColBandSize w:val="1"/>
    </w:tblPr>
    <w:tcPr>
      <w:tcBorders/>
    </w:tcPr>
  </w:style>
  <w:style w:type="paragraph" w:styleId="style74">
    <w:name w:val="Subtitle"/>
    <w:basedOn w:val="style4097"/>
    <w:next w:val="style4097"/>
    <w:pPr>
      <w:keepNext/>
      <w:keepLines/>
      <w:spacing w:before="360" w:after="80"/>
    </w:pPr>
    <w:rPr>
      <w:rFonts w:ascii="Georgia" w:cs="Georgia" w:eastAsia="Georgia" w:hAnsi="Georgia"/>
      <w:i/>
      <w:iCs/>
      <w:color w:val="666666"/>
      <w:sz w:val="48"/>
      <w:szCs w:val="48"/>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281</Words>
  <Characters>1642</Characters>
  <Application>WPS Office</Application>
  <Paragraphs>40</Paragraphs>
  <CharactersWithSpaces>1943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2026-09-06T07:55:46Z</dcterms:created>
  <dc:creator>SmarBridge ML</dc:creator>
  <lastModifiedBy>Redmi Note 10 Lite</lastModifiedBy>
  <dcterms:modified xsi:type="dcterms:W3CDTF">2026-09-06T07:55:46Z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5adc369246ab4c34ab7c1ef9a0f21538_23</vt:lpwstr>
  </property>
</Properties>
</file>