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58F8379">
      <w:pPr>
        <w:pStyle w:val="style0"/>
        <w:jc w:val="left"/>
        <w:rPr/>
      </w:pPr>
    </w:p>
    <w:p w14:paraId="5036E1E5">
      <w:pPr>
        <w:pStyle w:val="style0"/>
        <w:jc w:val="center"/>
        <w:rPr/>
      </w:pPr>
      <w:r>
        <w:rPr>
          <w:sz w:val="21"/>
        </w:rPr>
        <w:br/>
      </w:r>
      <w:r>
        <w:rPr>
          <w:rFonts w:ascii="Aptos" w:cs="宋体" w:eastAsia="ＭＳ 明朝" w:hAnsi="Aptos" w:hint="default"/>
          <w:b/>
          <w:bCs/>
          <w:i w:val="false"/>
          <w:iCs w:val="false"/>
          <w:color w:val="auto"/>
          <w:sz w:val="56"/>
          <w:szCs w:val="22"/>
          <w:highlight w:val="none"/>
          <w:vertAlign w:val="baseline"/>
          <w:em w:val="none"/>
          <w:lang w:val="en-US" w:eastAsia="en-US"/>
        </w:rPr>
        <w:t>SATELLITE</w:t>
      </w:r>
      <w:r>
        <w:rPr>
          <w:rFonts w:ascii="Aptos" w:cs="宋体" w:eastAsia="ＭＳ 明朝" w:hAnsi="Aptos" w:hint="default"/>
          <w:b/>
          <w:bCs/>
          <w:i w:val="false"/>
          <w:iCs w:val="false"/>
          <w:color w:val="auto"/>
          <w:sz w:val="56"/>
          <w:szCs w:val="22"/>
          <w:highlight w:val="none"/>
          <w:vertAlign w:val="baseline"/>
          <w:em w:val="none"/>
          <w:lang w:val="en-US" w:eastAsia="en-US"/>
        </w:rPr>
        <w:t xml:space="preserve"> </w:t>
      </w:r>
      <w:r>
        <w:rPr>
          <w:rFonts w:ascii="Aptos" w:cs="宋体" w:eastAsia="ＭＳ 明朝" w:hAnsi="Aptos" w:hint="default"/>
          <w:b/>
          <w:bCs/>
          <w:i w:val="false"/>
          <w:iCs w:val="false"/>
          <w:color w:val="auto"/>
          <w:sz w:val="56"/>
          <w:szCs w:val="22"/>
          <w:highlight w:val="none"/>
          <w:vertAlign w:val="baseline"/>
          <w:em w:val="none"/>
          <w:lang w:val="en-US" w:eastAsia="en-US"/>
        </w:rPr>
        <w:t>&amp;</w:t>
      </w:r>
      <w:r>
        <w:rPr>
          <w:rFonts w:ascii="Aptos" w:cs="宋体" w:eastAsia="ＭＳ 明朝" w:hAnsi="Aptos" w:hint="default"/>
          <w:b/>
          <w:bCs/>
          <w:i w:val="false"/>
          <w:iCs w:val="false"/>
          <w:color w:val="auto"/>
          <w:sz w:val="56"/>
          <w:szCs w:val="22"/>
          <w:highlight w:val="none"/>
          <w:vertAlign w:val="baseline"/>
          <w:em w:val="none"/>
          <w:lang w:val="en-US" w:eastAsia="en-US"/>
        </w:rPr>
        <w:t xml:space="preserve"> </w:t>
      </w:r>
      <w:r>
        <w:rPr>
          <w:rFonts w:ascii="Aptos" w:cs="宋体" w:eastAsia="ＭＳ 明朝" w:hAnsi="Aptos" w:hint="default"/>
          <w:b/>
          <w:bCs/>
          <w:i w:val="false"/>
          <w:iCs w:val="false"/>
          <w:color w:val="auto"/>
          <w:sz w:val="56"/>
          <w:szCs w:val="22"/>
          <w:highlight w:val="none"/>
          <w:vertAlign w:val="baseline"/>
          <w:em w:val="none"/>
          <w:lang w:val="en-US" w:eastAsia="en-US"/>
        </w:rPr>
        <w:t>GIS</w:t>
      </w:r>
      <w:r>
        <w:rPr>
          <w:rFonts w:ascii="Aptos" w:cs="宋体" w:eastAsia="ＭＳ 明朝" w:hAnsi="Aptos" w:hint="default"/>
          <w:b/>
          <w:bCs/>
          <w:i w:val="false"/>
          <w:iCs w:val="false"/>
          <w:color w:val="auto"/>
          <w:sz w:val="56"/>
          <w:szCs w:val="22"/>
          <w:highlight w:val="none"/>
          <w:vertAlign w:val="baseline"/>
          <w:em w:val="none"/>
          <w:lang w:val="en-US" w:eastAsia="en-US"/>
        </w:rPr>
        <w:t xml:space="preserve"> </w:t>
      </w:r>
      <w:r>
        <w:rPr>
          <w:rFonts w:ascii="Aptos" w:cs="宋体" w:eastAsia="ＭＳ 明朝" w:hAnsi="Aptos" w:hint="default"/>
          <w:b/>
          <w:bCs/>
          <w:i w:val="false"/>
          <w:iCs w:val="false"/>
          <w:color w:val="auto"/>
          <w:sz w:val="56"/>
          <w:szCs w:val="22"/>
          <w:highlight w:val="none"/>
          <w:vertAlign w:val="baseline"/>
          <w:em w:val="none"/>
          <w:lang w:val="en-US" w:eastAsia="en-US"/>
        </w:rPr>
        <w:t>TECHNOLOGY</w:t>
      </w:r>
    </w:p>
    <w:p w14:paraId="1704BC64">
      <w:pPr>
        <w:pStyle w:val="style1"/>
        <w:rPr>
          <w:color w:val="36363d"/>
        </w:rPr>
      </w:pPr>
      <w:r>
        <w:t xml:space="preserve"> </w:t>
      </w:r>
      <w:r>
        <w:rPr>
          <w:color w:val="36363d"/>
        </w:rPr>
        <w:t>Introduction to Satellite Remote Sensing &amp; GIS</w:t>
      </w:r>
    </w:p>
    <w:p w14:paraId="20622BE8">
      <w:pPr>
        <w:pStyle w:val="style2"/>
        <w:rPr>
          <w:color w:val="36363d"/>
        </w:rPr>
      </w:pPr>
      <w:r>
        <w:rPr>
          <w:color w:val="36363d"/>
        </w:rPr>
        <w:t>Satellite Remote Sensing</w:t>
      </w:r>
    </w:p>
    <w:p w14:paraId="5B3ADB7A">
      <w:pPr>
        <w:pStyle w:val="style0"/>
        <w:rPr>
          <w:color w:val="36363d"/>
        </w:rPr>
      </w:pPr>
      <w:r>
        <w:rPr>
          <w:color w:val="36363d"/>
        </w:rPr>
        <w:t>Satellite remote sensing collects information about Earth's surface from sensors carried by satellites. Optical sensors measure reflected solar radiation in several spectral bands, while radar sensors actively transmit microwave energy and measure the returned signal. Because different surfaces respond differently to electromagnetic radiation, satellite measurements can be transformed into maps of vegetation, moisture, surface disturbance, land cover and terrain-related conditions.</w:t>
      </w:r>
    </w:p>
    <w:p w14:paraId="59623DE9">
      <w:pPr>
        <w:pStyle w:val="style2"/>
        <w:rPr>
          <w:color w:val="36363d"/>
        </w:rPr>
      </w:pPr>
      <w:r>
        <w:rPr>
          <w:color w:val="36363d"/>
        </w:rPr>
        <w:t xml:space="preserve"> Geographic Information System (GIS)</w:t>
      </w:r>
    </w:p>
    <w:p w14:paraId="F76C02A0">
      <w:pPr>
        <w:pStyle w:val="style0"/>
        <w:rPr>
          <w:color w:val="36363d"/>
        </w:rPr>
      </w:pPr>
      <w:r>
        <w:rPr>
          <w:color w:val="36363d"/>
        </w:rPr>
        <w:t>GIS provides the spatial framework that allows heterogeneous datasets to be aligned, analysed and visualised. For landslide monitoring, GIS can combine elevation, slope, geology, soil, rainfall, vegetation, satellite deformation, historical landslides, roads, buildings and critical facilities in one coordinate system.</w:t>
      </w:r>
    </w:p>
    <w:p w14:paraId="6DC714F2">
      <w:pPr>
        <w:pStyle w:val="style2"/>
        <w:rPr>
          <w:color w:val="36363d"/>
        </w:rPr>
      </w:pPr>
      <w:r>
        <w:rPr>
          <w:color w:val="36363d"/>
        </w:rPr>
        <w:t xml:space="preserve"> Three levels of landslide intelligence</w:t>
      </w:r>
    </w:p>
    <w:tbl>
      <w:tblPr>
        <w:tblStyle w:val="style154"/>
        <w:tblW w:w="0" w:type="auto"/>
        <w:jc w:val="center"/>
        <w:tblLook w:val="04A0" w:firstRow="1" w:lastRow="0" w:firstColumn="1" w:lastColumn="0" w:noHBand="0" w:noVBand="1"/>
      </w:tblPr>
      <w:tblGrid>
        <w:gridCol w:w="2520"/>
        <w:gridCol w:w="2520"/>
        <w:gridCol w:w="2520"/>
        <w:gridCol w:w="2520"/>
      </w:tblGrid>
      <w:tr w14:paraId="FA81A2E9">
        <w:trPr>
          <w:jc w:val="center"/>
        </w:trPr>
        <w:tc>
          <w:tcPr>
            <w:tcW w:w="2520" w:type="dxa"/>
            <w:tcBorders/>
            <w:shd w:val="nil" w:color="auto" w:fill="d9eaf7"/>
            <w:vAlign w:val="center"/>
          </w:tcPr>
          <w:p w14:paraId="B18E1875">
            <w:pPr>
              <w:pStyle w:val="style0"/>
              <w:rPr>
                <w:color w:val="36363d"/>
              </w:rPr>
            </w:pPr>
            <w:r>
              <w:rPr>
                <w:rFonts w:ascii="Aptos" w:hAnsi="Aptos"/>
                <w:b/>
                <w:color w:val="36363d"/>
                <w:sz w:val="18"/>
              </w:rPr>
              <w:t>Level</w:t>
            </w:r>
          </w:p>
        </w:tc>
        <w:tc>
          <w:tcPr>
            <w:tcW w:w="2520" w:type="dxa"/>
            <w:tcBorders/>
            <w:shd w:val="nil" w:color="auto" w:fill="d9eaf7"/>
            <w:vAlign w:val="center"/>
          </w:tcPr>
          <w:p w14:paraId="836AB9EE">
            <w:pPr>
              <w:pStyle w:val="style0"/>
              <w:rPr>
                <w:color w:val="36363d"/>
              </w:rPr>
            </w:pPr>
            <w:r>
              <w:rPr>
                <w:rFonts w:ascii="Aptos" w:hAnsi="Aptos"/>
                <w:b/>
                <w:color w:val="36363d"/>
                <w:sz w:val="18"/>
              </w:rPr>
              <w:t>Main question</w:t>
            </w:r>
          </w:p>
        </w:tc>
        <w:tc>
          <w:tcPr>
            <w:tcW w:w="2520" w:type="dxa"/>
            <w:tcBorders/>
            <w:shd w:val="nil" w:color="auto" w:fill="d9eaf7"/>
            <w:vAlign w:val="center"/>
          </w:tcPr>
          <w:p w14:paraId="58230C8E">
            <w:pPr>
              <w:pStyle w:val="style0"/>
              <w:rPr>
                <w:color w:val="36363d"/>
              </w:rPr>
            </w:pPr>
            <w:r>
              <w:rPr>
                <w:rFonts w:ascii="Aptos" w:hAnsi="Aptos"/>
                <w:b/>
                <w:color w:val="36363d"/>
                <w:sz w:val="18"/>
              </w:rPr>
              <w:t>Typical inputs</w:t>
            </w:r>
          </w:p>
        </w:tc>
        <w:tc>
          <w:tcPr>
            <w:tcW w:w="2520" w:type="dxa"/>
            <w:tcBorders/>
            <w:shd w:val="nil" w:color="auto" w:fill="d9eaf7"/>
            <w:vAlign w:val="center"/>
          </w:tcPr>
          <w:p w14:paraId="7715967C">
            <w:pPr>
              <w:pStyle w:val="style0"/>
              <w:rPr>
                <w:color w:val="36363d"/>
              </w:rPr>
            </w:pPr>
            <w:r>
              <w:rPr>
                <w:rFonts w:ascii="Aptos" w:hAnsi="Aptos"/>
                <w:b/>
                <w:color w:val="36363d"/>
                <w:sz w:val="18"/>
              </w:rPr>
              <w:t>Output</w:t>
            </w:r>
          </w:p>
        </w:tc>
      </w:tr>
      <w:tr w14:paraId="BA27B178">
        <w:tblPrEx/>
        <w:trPr>
          <w:jc w:val="center"/>
        </w:trPr>
        <w:tc>
          <w:tcPr>
            <w:tcW w:w="2520" w:type="dxa"/>
            <w:tcBorders/>
            <w:vAlign w:val="center"/>
          </w:tcPr>
          <w:p w14:paraId="14301257">
            <w:pPr>
              <w:pStyle w:val="style0"/>
              <w:rPr>
                <w:color w:val="36363d"/>
              </w:rPr>
            </w:pPr>
            <w:r>
              <w:rPr>
                <w:rFonts w:ascii="Aptos" w:hAnsi="Aptos"/>
                <w:b w:val="false"/>
                <w:color w:val="36363d"/>
                <w:sz w:val="18"/>
              </w:rPr>
              <w:t>Susceptibility</w:t>
            </w:r>
          </w:p>
        </w:tc>
        <w:tc>
          <w:tcPr>
            <w:tcW w:w="2520" w:type="dxa"/>
            <w:tcBorders/>
            <w:vAlign w:val="center"/>
          </w:tcPr>
          <w:p w14:paraId="4F14E2BF">
            <w:pPr>
              <w:pStyle w:val="style0"/>
              <w:rPr>
                <w:color w:val="36363d"/>
              </w:rPr>
            </w:pPr>
            <w:r>
              <w:rPr>
                <w:rFonts w:ascii="Aptos" w:hAnsi="Aptos"/>
                <w:b w:val="false"/>
                <w:color w:val="36363d"/>
                <w:sz w:val="18"/>
              </w:rPr>
              <w:t>Where is failure more likely?</w:t>
            </w:r>
          </w:p>
        </w:tc>
        <w:tc>
          <w:tcPr>
            <w:tcW w:w="2520" w:type="dxa"/>
            <w:tcBorders/>
            <w:vAlign w:val="center"/>
          </w:tcPr>
          <w:p w14:paraId="56F2054C">
            <w:pPr>
              <w:pStyle w:val="style0"/>
              <w:rPr>
                <w:color w:val="36363d"/>
              </w:rPr>
            </w:pPr>
            <w:r>
              <w:rPr>
                <w:rFonts w:ascii="Aptos" w:hAnsi="Aptos"/>
                <w:b w:val="false"/>
                <w:color w:val="36363d"/>
                <w:sz w:val="18"/>
              </w:rPr>
              <w:t>DEM, slope, geology, soil, land cover, historical events</w:t>
            </w:r>
          </w:p>
        </w:tc>
        <w:tc>
          <w:tcPr>
            <w:tcW w:w="2520" w:type="dxa"/>
            <w:tcBorders/>
            <w:vAlign w:val="center"/>
          </w:tcPr>
          <w:p w14:paraId="44D24377">
            <w:pPr>
              <w:pStyle w:val="style0"/>
              <w:rPr>
                <w:color w:val="36363d"/>
              </w:rPr>
            </w:pPr>
            <w:r>
              <w:rPr>
                <w:rFonts w:ascii="Aptos" w:hAnsi="Aptos"/>
                <w:b w:val="false"/>
                <w:color w:val="36363d"/>
                <w:sz w:val="18"/>
              </w:rPr>
              <w:t>Susceptibility map</w:t>
            </w:r>
          </w:p>
        </w:tc>
      </w:tr>
      <w:tr w14:paraId="C2444805">
        <w:tblPrEx/>
        <w:trPr>
          <w:jc w:val="center"/>
        </w:trPr>
        <w:tc>
          <w:tcPr>
            <w:tcW w:w="2520" w:type="dxa"/>
            <w:tcBorders/>
            <w:vAlign w:val="center"/>
          </w:tcPr>
          <w:p w14:paraId="774F0DB3">
            <w:pPr>
              <w:pStyle w:val="style0"/>
              <w:rPr>
                <w:color w:val="36363d"/>
              </w:rPr>
            </w:pPr>
            <w:r>
              <w:rPr>
                <w:rFonts w:ascii="Aptos" w:hAnsi="Aptos"/>
                <w:b w:val="false"/>
                <w:color w:val="36363d"/>
                <w:sz w:val="18"/>
              </w:rPr>
              <w:t>Dynamic hazard</w:t>
            </w:r>
          </w:p>
        </w:tc>
        <w:tc>
          <w:tcPr>
            <w:tcW w:w="2520" w:type="dxa"/>
            <w:tcBorders/>
            <w:vAlign w:val="center"/>
          </w:tcPr>
          <w:p w14:paraId="AEA4D1C0">
            <w:pPr>
              <w:pStyle w:val="style0"/>
              <w:rPr>
                <w:color w:val="36363d"/>
              </w:rPr>
            </w:pPr>
            <w:r>
              <w:rPr>
                <w:rFonts w:ascii="Aptos" w:hAnsi="Aptos"/>
                <w:b w:val="false"/>
                <w:color w:val="36363d"/>
                <w:sz w:val="18"/>
              </w:rPr>
              <w:t>Where are current conditions becoming dangerous?</w:t>
            </w:r>
          </w:p>
        </w:tc>
        <w:tc>
          <w:tcPr>
            <w:tcW w:w="2520" w:type="dxa"/>
            <w:tcBorders/>
            <w:vAlign w:val="center"/>
          </w:tcPr>
          <w:p w14:paraId="E5D2AEA2">
            <w:pPr>
              <w:pStyle w:val="style0"/>
              <w:rPr>
                <w:color w:val="36363d"/>
              </w:rPr>
            </w:pPr>
            <w:r>
              <w:rPr>
                <w:rFonts w:ascii="Aptos" w:hAnsi="Aptos"/>
                <w:b w:val="false"/>
                <w:color w:val="36363d"/>
                <w:sz w:val="18"/>
              </w:rPr>
              <w:t>Rainfall, antecedent rainfall, soil moisture, susceptibility</w:t>
            </w:r>
          </w:p>
        </w:tc>
        <w:tc>
          <w:tcPr>
            <w:tcW w:w="2520" w:type="dxa"/>
            <w:tcBorders/>
            <w:vAlign w:val="center"/>
          </w:tcPr>
          <w:p w14:paraId="53DAE846">
            <w:pPr>
              <w:pStyle w:val="style0"/>
              <w:rPr>
                <w:color w:val="36363d"/>
              </w:rPr>
            </w:pPr>
            <w:r>
              <w:rPr>
                <w:rFonts w:ascii="Aptos" w:hAnsi="Aptos"/>
                <w:b w:val="false"/>
                <w:color w:val="36363d"/>
                <w:sz w:val="18"/>
              </w:rPr>
              <w:t>Current hazard level</w:t>
            </w:r>
          </w:p>
        </w:tc>
      </w:tr>
      <w:tr w14:paraId="BDF750A6">
        <w:tblPrEx/>
        <w:trPr>
          <w:jc w:val="center"/>
        </w:trPr>
        <w:tc>
          <w:tcPr>
            <w:tcW w:w="2520" w:type="dxa"/>
            <w:tcBorders/>
            <w:vAlign w:val="center"/>
          </w:tcPr>
          <w:p w14:paraId="9AC31077">
            <w:pPr>
              <w:pStyle w:val="style0"/>
              <w:rPr>
                <w:color w:val="36363d"/>
              </w:rPr>
            </w:pPr>
            <w:r>
              <w:rPr>
                <w:rFonts w:ascii="Aptos" w:hAnsi="Aptos"/>
                <w:b w:val="false"/>
                <w:color w:val="36363d"/>
                <w:sz w:val="18"/>
              </w:rPr>
              <w:t>Deformation/change</w:t>
            </w:r>
          </w:p>
        </w:tc>
        <w:tc>
          <w:tcPr>
            <w:tcW w:w="2520" w:type="dxa"/>
            <w:tcBorders/>
            <w:vAlign w:val="center"/>
          </w:tcPr>
          <w:p w14:paraId="A05537EF">
            <w:pPr>
              <w:pStyle w:val="style0"/>
              <w:rPr>
                <w:color w:val="36363d"/>
              </w:rPr>
            </w:pPr>
            <w:r>
              <w:rPr>
                <w:rFonts w:ascii="Aptos" w:hAnsi="Aptos"/>
                <w:b w:val="false"/>
                <w:color w:val="36363d"/>
                <w:sz w:val="18"/>
              </w:rPr>
              <w:t>Is the surface showing measurable change?</w:t>
            </w:r>
          </w:p>
        </w:tc>
        <w:tc>
          <w:tcPr>
            <w:tcW w:w="2520" w:type="dxa"/>
            <w:tcBorders/>
            <w:vAlign w:val="center"/>
          </w:tcPr>
          <w:p w14:paraId="7CE24B04">
            <w:pPr>
              <w:pStyle w:val="style0"/>
              <w:rPr>
                <w:color w:val="36363d"/>
              </w:rPr>
            </w:pPr>
            <w:r>
              <w:rPr>
                <w:rFonts w:ascii="Aptos" w:hAnsi="Aptos"/>
                <w:b w:val="false"/>
                <w:color w:val="36363d"/>
                <w:sz w:val="18"/>
              </w:rPr>
              <w:t>Sentinel-1 InSAR, Sentinel-2/Landsat change detection</w:t>
            </w:r>
          </w:p>
        </w:tc>
        <w:tc>
          <w:tcPr>
            <w:tcW w:w="2520" w:type="dxa"/>
            <w:tcBorders/>
            <w:vAlign w:val="center"/>
          </w:tcPr>
          <w:p w14:paraId="AB512BD1">
            <w:pPr>
              <w:pStyle w:val="style0"/>
              <w:rPr>
                <w:color w:val="36363d"/>
              </w:rPr>
            </w:pPr>
            <w:r>
              <w:rPr>
                <w:rFonts w:ascii="Aptos" w:hAnsi="Aptos"/>
                <w:b w:val="false"/>
                <w:color w:val="36363d"/>
                <w:sz w:val="18"/>
              </w:rPr>
              <w:t>Monitoring/alert candidates</w:t>
            </w:r>
          </w:p>
        </w:tc>
      </w:tr>
    </w:tbl>
    <w:p w14:paraId="3016E224">
      <w:pPr>
        <w:pStyle w:val="style2"/>
        <w:rPr>
          <w:color w:val="36363d"/>
        </w:rPr>
      </w:pPr>
      <w:r>
        <w:rPr>
          <w:color w:val="36363d"/>
        </w:rPr>
        <w:t>Why satellite + GIS?</w:t>
      </w:r>
    </w:p>
    <w:p w14:paraId="F4A29D3C">
      <w:pPr>
        <w:pStyle w:val="style48"/>
        <w:spacing w:after="40"/>
        <w:rPr>
          <w:color w:val="36363d"/>
        </w:rPr>
      </w:pPr>
      <w:r>
        <w:rPr>
          <w:color w:val="36363d"/>
        </w:rPr>
        <w:t>Covers large and inaccessible mountainous regions.</w:t>
      </w:r>
    </w:p>
    <w:p w14:paraId="6FC9FC92">
      <w:pPr>
        <w:pStyle w:val="style48"/>
        <w:spacing w:after="40"/>
        <w:rPr>
          <w:color w:val="36363d"/>
        </w:rPr>
      </w:pPr>
      <w:r>
        <w:rPr>
          <w:color w:val="36363d"/>
        </w:rPr>
        <w:t>Provides repeat observations for time-series analysis.</w:t>
      </w:r>
    </w:p>
    <w:p w14:paraId="9AEEEF5D">
      <w:pPr>
        <w:pStyle w:val="style48"/>
        <w:spacing w:after="40"/>
        <w:rPr>
          <w:color w:val="36363d"/>
        </w:rPr>
      </w:pPr>
      <w:r>
        <w:rPr>
          <w:color w:val="36363d"/>
        </w:rPr>
        <w:t>Radar can operate without dependence on daylight and is less affected by cloud cover than optical imaging.</w:t>
      </w:r>
    </w:p>
    <w:p w14:paraId="E9AD9101">
      <w:pPr>
        <w:pStyle w:val="style48"/>
        <w:spacing w:after="40"/>
        <w:rPr>
          <w:color w:val="36363d"/>
        </w:rPr>
      </w:pPr>
      <w:r>
        <w:rPr>
          <w:color w:val="36363d"/>
        </w:rPr>
        <w:t>Optical imagery provides rich information on vegetation, bare soil and surface disturbance.</w:t>
      </w:r>
    </w:p>
    <w:p w14:paraId="66987096">
      <w:pPr>
        <w:pStyle w:val="style48"/>
        <w:spacing w:after="40"/>
        <w:rPr>
          <w:color w:val="36363d"/>
        </w:rPr>
      </w:pPr>
      <w:r>
        <w:rPr>
          <w:color w:val="36363d"/>
        </w:rPr>
        <w:t>GIS enables multi-factor analysis instead of isolated observations.</w:t>
      </w:r>
    </w:p>
    <w:p w14:paraId="8F7C020F">
      <w:pPr>
        <w:pStyle w:val="style48"/>
        <w:spacing w:after="40"/>
        <w:rPr>
          <w:color w:val="36363d"/>
        </w:rPr>
      </w:pPr>
      <w:r>
        <w:rPr>
          <w:color w:val="36363d"/>
        </w:rPr>
        <w:t>Infrastructure exposure can be calculated by intersecting hazard zones with roads, villages, schools, hospitals and bridges.</w:t>
      </w:r>
    </w:p>
    <w:p w14:paraId="2E7AC4CC">
      <w:pPr>
        <w:pStyle w:val="style2"/>
        <w:rPr>
          <w:color w:val="36363d"/>
        </w:rPr>
      </w:pPr>
      <w:r>
        <w:rPr>
          <w:color w:val="36363d"/>
        </w:rPr>
        <w:t>Recommended system statement</w:t>
      </w:r>
    </w:p>
    <w:p w14:paraId="285CC846">
      <w:pPr>
        <w:pStyle w:val="style0"/>
        <w:rPr>
          <w:color w:val="36363d"/>
        </w:rPr>
      </w:pPr>
      <w:r>
        <w:rPr>
          <w:color w:val="36363d"/>
        </w:rPr>
        <w:t>The proposed platform estimates landslide susceptibility and evolving hazard by integrating satellite observations, terrain characteristics, rainfall, soil moisture and historical landslide information, while identifying possible pre-failure terrain changes that can be prioritised for field verification.</w:t>
      </w:r>
    </w:p>
    <w:p w14:paraId="720B4D25">
      <w:pPr>
        <w:pStyle w:val="style0"/>
        <w:rPr>
          <w:color w:val="36363d"/>
        </w:rPr>
      </w:pPr>
      <w:r>
        <w:rPr>
          <w:color w:val="36363d"/>
        </w:rPr>
        <w:br w:type="page"/>
      </w:r>
    </w:p>
    <w:p w14:paraId="8970CA15">
      <w:pPr>
        <w:pStyle w:val="style1"/>
        <w:rPr>
          <w:color w:val="36363d"/>
        </w:rPr>
      </w:pPr>
      <w:r>
        <w:rPr>
          <w:color w:val="36363d"/>
        </w:rPr>
        <w:t>Sentinel-1, SAR and Sentinel-2</w:t>
      </w:r>
    </w:p>
    <w:p w14:paraId="64495B9F">
      <w:pPr>
        <w:pStyle w:val="style2"/>
        <w:rPr>
          <w:color w:val="36363d"/>
        </w:rPr>
      </w:pPr>
      <w:r>
        <w:rPr>
          <w:color w:val="36363d"/>
        </w:rPr>
        <w:t>Sentinel-1 SAR</w:t>
      </w:r>
    </w:p>
    <w:p w14:paraId="D12094DF">
      <w:pPr>
        <w:pStyle w:val="style0"/>
        <w:rPr>
          <w:color w:val="36363d"/>
        </w:rPr>
      </w:pPr>
      <w:r>
        <w:rPr>
          <w:color w:val="36363d"/>
        </w:rPr>
        <w:t>Sentinel-1 is a Copernicus radar mission using C-band Synthetic Aperture Radar. Radar actively illuminates the surface, allowing observations during both day and night and under conditions where optical imagery may be obstructed by clouds. This makes Sentinel-1 particularly valuable for monsoon-affected mountainous areas.</w:t>
      </w:r>
    </w:p>
    <w:p w14:paraId="56079FB2">
      <w:pPr>
        <w:pStyle w:val="style2"/>
        <w:rPr>
          <w:color w:val="36363d"/>
        </w:rPr>
      </w:pPr>
      <w:r>
        <w:rPr>
          <w:color w:val="36363d"/>
          <w:lang w:val="en-US"/>
        </w:rPr>
        <w:t xml:space="preserve"> </w:t>
      </w:r>
      <w:r>
        <w:rPr>
          <w:color w:val="36363d"/>
        </w:rPr>
        <w:t>Why SAR is important for landslides</w:t>
      </w:r>
    </w:p>
    <w:p w14:paraId="B8A85F74">
      <w:pPr>
        <w:pStyle w:val="style48"/>
        <w:spacing w:after="40"/>
        <w:rPr>
          <w:color w:val="36363d"/>
        </w:rPr>
      </w:pPr>
      <w:r>
        <w:rPr>
          <w:color w:val="36363d"/>
        </w:rPr>
        <w:t>Provides repeat observations of the same terrain.</w:t>
      </w:r>
    </w:p>
    <w:p w14:paraId="A61B28CC">
      <w:pPr>
        <w:pStyle w:val="style48"/>
        <w:spacing w:after="40"/>
        <w:rPr>
          <w:color w:val="36363d"/>
        </w:rPr>
      </w:pPr>
      <w:r>
        <w:rPr>
          <w:color w:val="36363d"/>
        </w:rPr>
        <w:t>Can reveal changes in radar backscatter and coherence.</w:t>
      </w:r>
    </w:p>
    <w:p w14:paraId="EFFD5EF5">
      <w:pPr>
        <w:pStyle w:val="style48"/>
        <w:spacing w:after="40"/>
        <w:rPr>
          <w:color w:val="36363d"/>
        </w:rPr>
      </w:pPr>
      <w:r>
        <w:rPr>
          <w:color w:val="36363d"/>
        </w:rPr>
        <w:t>Supports interferometric measurements of surface displacement.</w:t>
      </w:r>
    </w:p>
    <w:p w14:paraId="A12880B0">
      <w:pPr>
        <w:pStyle w:val="style48"/>
        <w:spacing w:after="40"/>
        <w:rPr>
          <w:color w:val="36363d"/>
        </w:rPr>
      </w:pPr>
      <w:r>
        <w:rPr>
          <w:color w:val="36363d"/>
        </w:rPr>
        <w:t>Can complement optical imagery when cloud cover is persistent.</w:t>
      </w:r>
    </w:p>
    <w:p w14:paraId="C568098A">
      <w:pPr>
        <w:pStyle w:val="style48"/>
        <w:spacing w:after="40"/>
        <w:rPr>
          <w:color w:val="36363d"/>
        </w:rPr>
      </w:pPr>
      <w:r>
        <w:rPr>
          <w:color w:val="36363d"/>
        </w:rPr>
        <w:t>Is useful for monitoring slopes, infrastructure and persistent deformation.</w:t>
      </w:r>
    </w:p>
    <w:p w14:paraId="A37E3659">
      <w:pPr>
        <w:pStyle w:val="style2"/>
        <w:rPr>
          <w:color w:val="36363d"/>
        </w:rPr>
      </w:pPr>
      <w:r>
        <w:rPr>
          <w:color w:val="36363d"/>
        </w:rPr>
        <w:t>Sentinel-2 multispectral imagery</w:t>
      </w:r>
    </w:p>
    <w:p w14:paraId="A506C8E1">
      <w:pPr>
        <w:pStyle w:val="style0"/>
        <w:rPr>
          <w:color w:val="36363d"/>
        </w:rPr>
      </w:pPr>
      <w:r>
        <w:rPr>
          <w:color w:val="36363d"/>
        </w:rPr>
        <w:t>Sentinel-2 provides multispectral observations across visible, near-infrared and short-wave infrared regions. The data are useful for vegetation health, land-cover mapping, exposed soil, moisture-sensitive indices and landslide scar/change detection.</w:t>
      </w:r>
    </w:p>
    <w:tbl>
      <w:tblPr>
        <w:tblStyle w:val="style154"/>
        <w:tblW w:w="0" w:type="auto"/>
        <w:jc w:val="center"/>
        <w:tblLook w:val="04A0" w:firstRow="1" w:lastRow="0" w:firstColumn="1" w:lastColumn="0" w:noHBand="0" w:noVBand="1"/>
      </w:tblPr>
      <w:tblGrid>
        <w:gridCol w:w="3360"/>
        <w:gridCol w:w="3360"/>
        <w:gridCol w:w="3360"/>
      </w:tblGrid>
      <w:tr w14:paraId="D0441F70">
        <w:trPr>
          <w:jc w:val="center"/>
        </w:trPr>
        <w:tc>
          <w:tcPr>
            <w:tcW w:w="3360" w:type="dxa"/>
            <w:tcBorders/>
            <w:shd w:val="nil" w:color="auto" w:fill="d9eaf7"/>
            <w:vAlign w:val="center"/>
          </w:tcPr>
          <w:p w14:paraId="7C6115D1">
            <w:pPr>
              <w:pStyle w:val="style0"/>
              <w:rPr>
                <w:color w:val="36363d"/>
              </w:rPr>
            </w:pPr>
            <w:r>
              <w:rPr>
                <w:rFonts w:ascii="Aptos" w:hAnsi="Aptos"/>
                <w:b/>
                <w:color w:val="36363d"/>
                <w:sz w:val="18"/>
              </w:rPr>
              <w:t>Dataset</w:t>
            </w:r>
          </w:p>
        </w:tc>
        <w:tc>
          <w:tcPr>
            <w:tcW w:w="3360" w:type="dxa"/>
            <w:tcBorders/>
            <w:shd w:val="nil" w:color="auto" w:fill="d9eaf7"/>
            <w:vAlign w:val="center"/>
          </w:tcPr>
          <w:p w14:paraId="CF265CC1">
            <w:pPr>
              <w:pStyle w:val="style0"/>
              <w:rPr>
                <w:color w:val="36363d"/>
              </w:rPr>
            </w:pPr>
            <w:r>
              <w:rPr>
                <w:rFonts w:ascii="Aptos" w:hAnsi="Aptos"/>
                <w:b/>
                <w:color w:val="36363d"/>
                <w:sz w:val="18"/>
              </w:rPr>
              <w:t>Primary role</w:t>
            </w:r>
          </w:p>
        </w:tc>
        <w:tc>
          <w:tcPr>
            <w:tcW w:w="3360" w:type="dxa"/>
            <w:tcBorders/>
            <w:shd w:val="nil" w:color="auto" w:fill="d9eaf7"/>
            <w:vAlign w:val="center"/>
          </w:tcPr>
          <w:p w14:paraId="949DEDDB">
            <w:pPr>
              <w:pStyle w:val="style0"/>
              <w:rPr>
                <w:color w:val="36363d"/>
              </w:rPr>
            </w:pPr>
            <w:r>
              <w:rPr>
                <w:rFonts w:ascii="Aptos" w:hAnsi="Aptos"/>
                <w:b/>
                <w:color w:val="36363d"/>
                <w:sz w:val="18"/>
              </w:rPr>
              <w:t>Typical landslide use</w:t>
            </w:r>
          </w:p>
        </w:tc>
      </w:tr>
      <w:tr w14:paraId="776AAF82">
        <w:tblPrEx/>
        <w:trPr>
          <w:jc w:val="center"/>
        </w:trPr>
        <w:tc>
          <w:tcPr>
            <w:tcW w:w="3360" w:type="dxa"/>
            <w:tcBorders/>
            <w:vAlign w:val="center"/>
          </w:tcPr>
          <w:p w14:paraId="E2784987">
            <w:pPr>
              <w:pStyle w:val="style0"/>
              <w:rPr>
                <w:color w:val="36363d"/>
              </w:rPr>
            </w:pPr>
            <w:r>
              <w:rPr>
                <w:rFonts w:ascii="Aptos" w:hAnsi="Aptos"/>
                <w:b w:val="false"/>
                <w:color w:val="36363d"/>
                <w:sz w:val="18"/>
              </w:rPr>
              <w:t>Sentinel-1</w:t>
            </w:r>
          </w:p>
        </w:tc>
        <w:tc>
          <w:tcPr>
            <w:tcW w:w="3360" w:type="dxa"/>
            <w:tcBorders/>
            <w:vAlign w:val="center"/>
          </w:tcPr>
          <w:p w14:paraId="2720E796">
            <w:pPr>
              <w:pStyle w:val="style0"/>
              <w:rPr>
                <w:color w:val="36363d"/>
              </w:rPr>
            </w:pPr>
            <w:r>
              <w:rPr>
                <w:rFonts w:ascii="Aptos" w:hAnsi="Aptos"/>
                <w:b w:val="false"/>
                <w:color w:val="36363d"/>
                <w:sz w:val="18"/>
              </w:rPr>
              <w:t>C-band SAR</w:t>
            </w:r>
          </w:p>
        </w:tc>
        <w:tc>
          <w:tcPr>
            <w:tcW w:w="3360" w:type="dxa"/>
            <w:tcBorders/>
            <w:vAlign w:val="center"/>
          </w:tcPr>
          <w:p w14:paraId="7D734855">
            <w:pPr>
              <w:pStyle w:val="style0"/>
              <w:rPr>
                <w:color w:val="36363d"/>
              </w:rPr>
            </w:pPr>
            <w:r>
              <w:rPr>
                <w:rFonts w:ascii="Aptos" w:hAnsi="Aptos"/>
                <w:b w:val="false"/>
                <w:color w:val="36363d"/>
                <w:sz w:val="18"/>
              </w:rPr>
              <w:t>InSAR deformation, radar change detection, all-weather monitoring</w:t>
            </w:r>
          </w:p>
        </w:tc>
      </w:tr>
      <w:tr w14:paraId="20FE28F9">
        <w:tblPrEx/>
        <w:trPr>
          <w:jc w:val="center"/>
        </w:trPr>
        <w:tc>
          <w:tcPr>
            <w:tcW w:w="3360" w:type="dxa"/>
            <w:tcBorders/>
            <w:vAlign w:val="center"/>
          </w:tcPr>
          <w:p w14:paraId="AC45242F">
            <w:pPr>
              <w:pStyle w:val="style0"/>
              <w:rPr>
                <w:color w:val="36363d"/>
              </w:rPr>
            </w:pPr>
            <w:r>
              <w:rPr>
                <w:rFonts w:ascii="Aptos" w:hAnsi="Aptos"/>
                <w:b w:val="false"/>
                <w:color w:val="36363d"/>
                <w:sz w:val="18"/>
              </w:rPr>
              <w:t>Sentinel-2</w:t>
            </w:r>
          </w:p>
        </w:tc>
        <w:tc>
          <w:tcPr>
            <w:tcW w:w="3360" w:type="dxa"/>
            <w:tcBorders/>
            <w:vAlign w:val="center"/>
          </w:tcPr>
          <w:p w14:paraId="9CA8A684">
            <w:pPr>
              <w:pStyle w:val="style0"/>
              <w:rPr>
                <w:color w:val="36363d"/>
              </w:rPr>
            </w:pPr>
            <w:r>
              <w:rPr>
                <w:rFonts w:ascii="Aptos" w:hAnsi="Aptos"/>
                <w:b w:val="false"/>
                <w:color w:val="36363d"/>
                <w:sz w:val="18"/>
              </w:rPr>
              <w:t>Multispectral optical</w:t>
            </w:r>
          </w:p>
        </w:tc>
        <w:tc>
          <w:tcPr>
            <w:tcW w:w="3360" w:type="dxa"/>
            <w:tcBorders/>
            <w:vAlign w:val="center"/>
          </w:tcPr>
          <w:p w14:paraId="114A6705">
            <w:pPr>
              <w:pStyle w:val="style0"/>
              <w:rPr>
                <w:color w:val="36363d"/>
              </w:rPr>
            </w:pPr>
            <w:r>
              <w:rPr>
                <w:rFonts w:ascii="Aptos" w:hAnsi="Aptos"/>
                <w:b w:val="false"/>
                <w:color w:val="36363d"/>
                <w:sz w:val="18"/>
              </w:rPr>
              <w:t>NDVI, land cover, exposed soil, scar/change detection</w:t>
            </w:r>
          </w:p>
        </w:tc>
      </w:tr>
      <w:tr w14:paraId="4AC7DF45">
        <w:tblPrEx/>
        <w:trPr>
          <w:jc w:val="center"/>
        </w:trPr>
        <w:tc>
          <w:tcPr>
            <w:tcW w:w="3360" w:type="dxa"/>
            <w:tcBorders/>
            <w:vAlign w:val="center"/>
          </w:tcPr>
          <w:p w14:paraId="A80BF6A7">
            <w:pPr>
              <w:pStyle w:val="style0"/>
              <w:rPr>
                <w:color w:val="36363d"/>
              </w:rPr>
            </w:pPr>
            <w:r>
              <w:rPr>
                <w:rFonts w:ascii="Aptos" w:hAnsi="Aptos"/>
                <w:b w:val="false"/>
                <w:color w:val="36363d"/>
                <w:sz w:val="18"/>
              </w:rPr>
              <w:t>Landsat 8/9</w:t>
            </w:r>
          </w:p>
        </w:tc>
        <w:tc>
          <w:tcPr>
            <w:tcW w:w="3360" w:type="dxa"/>
            <w:tcBorders/>
            <w:vAlign w:val="center"/>
          </w:tcPr>
          <w:p w14:paraId="38A24A91">
            <w:pPr>
              <w:pStyle w:val="style0"/>
              <w:rPr>
                <w:color w:val="36363d"/>
              </w:rPr>
            </w:pPr>
            <w:r>
              <w:rPr>
                <w:rFonts w:ascii="Aptos" w:hAnsi="Aptos"/>
                <w:b w:val="false"/>
                <w:color w:val="36363d"/>
                <w:sz w:val="18"/>
              </w:rPr>
              <w:t>Long historical optical record</w:t>
            </w:r>
          </w:p>
        </w:tc>
        <w:tc>
          <w:tcPr>
            <w:tcW w:w="3360" w:type="dxa"/>
            <w:tcBorders/>
            <w:vAlign w:val="center"/>
          </w:tcPr>
          <w:p w14:paraId="1279971B">
            <w:pPr>
              <w:pStyle w:val="style0"/>
              <w:rPr>
                <w:color w:val="36363d"/>
              </w:rPr>
            </w:pPr>
            <w:r>
              <w:rPr>
                <w:rFonts w:ascii="Aptos" w:hAnsi="Aptos"/>
                <w:b w:val="false"/>
                <w:color w:val="36363d"/>
                <w:sz w:val="18"/>
              </w:rPr>
              <w:t>Historical land-cover and change baseline</w:t>
            </w:r>
          </w:p>
        </w:tc>
      </w:tr>
    </w:tbl>
    <w:p w14:paraId="A42BAFE5">
      <w:pPr>
        <w:pStyle w:val="style2"/>
        <w:rPr>
          <w:color w:val="36363d"/>
        </w:rPr>
      </w:pPr>
      <w:r>
        <w:rPr>
          <w:color w:val="36363d"/>
        </w:rPr>
        <w:t>Optical versus radar</w:t>
      </w:r>
    </w:p>
    <w:tbl>
      <w:tblPr>
        <w:tblStyle w:val="style154"/>
        <w:tblW w:w="0" w:type="auto"/>
        <w:jc w:val="center"/>
        <w:tblLook w:val="04A0" w:firstRow="1" w:lastRow="0" w:firstColumn="1" w:lastColumn="0" w:noHBand="0" w:noVBand="1"/>
      </w:tblPr>
      <w:tblGrid>
        <w:gridCol w:w="3360"/>
        <w:gridCol w:w="3360"/>
        <w:gridCol w:w="3360"/>
      </w:tblGrid>
      <w:tr w14:paraId="5BA1C47C">
        <w:trPr>
          <w:jc w:val="center"/>
        </w:trPr>
        <w:tc>
          <w:tcPr>
            <w:tcW w:w="3360" w:type="dxa"/>
            <w:tcBorders/>
            <w:shd w:val="nil" w:color="auto" w:fill="d9eaf7"/>
            <w:vAlign w:val="center"/>
          </w:tcPr>
          <w:p w14:paraId="F0BE6837">
            <w:pPr>
              <w:pStyle w:val="style0"/>
              <w:rPr>
                <w:color w:val="36363d"/>
              </w:rPr>
            </w:pPr>
            <w:r>
              <w:rPr>
                <w:rFonts w:ascii="Aptos" w:hAnsi="Aptos"/>
                <w:b/>
                <w:color w:val="36363d"/>
                <w:sz w:val="18"/>
              </w:rPr>
              <w:t>Characteristic</w:t>
            </w:r>
          </w:p>
        </w:tc>
        <w:tc>
          <w:tcPr>
            <w:tcW w:w="3360" w:type="dxa"/>
            <w:tcBorders/>
            <w:shd w:val="nil" w:color="auto" w:fill="d9eaf7"/>
            <w:vAlign w:val="center"/>
          </w:tcPr>
          <w:p w14:paraId="EFC79BDF">
            <w:pPr>
              <w:pStyle w:val="style0"/>
              <w:rPr>
                <w:color w:val="36363d"/>
              </w:rPr>
            </w:pPr>
            <w:r>
              <w:rPr>
                <w:rFonts w:ascii="Aptos" w:hAnsi="Aptos"/>
                <w:b/>
                <w:color w:val="36363d"/>
                <w:sz w:val="18"/>
              </w:rPr>
              <w:t>Optical imagery</w:t>
            </w:r>
          </w:p>
        </w:tc>
        <w:tc>
          <w:tcPr>
            <w:tcW w:w="3360" w:type="dxa"/>
            <w:tcBorders/>
            <w:shd w:val="nil" w:color="auto" w:fill="d9eaf7"/>
            <w:vAlign w:val="center"/>
          </w:tcPr>
          <w:p w14:paraId="348C88B3">
            <w:pPr>
              <w:pStyle w:val="style0"/>
              <w:rPr>
                <w:color w:val="36363d"/>
              </w:rPr>
            </w:pPr>
            <w:r>
              <w:rPr>
                <w:rFonts w:ascii="Aptos" w:hAnsi="Aptos"/>
                <w:b/>
                <w:color w:val="36363d"/>
                <w:sz w:val="18"/>
              </w:rPr>
              <w:t>SAR</w:t>
            </w:r>
          </w:p>
        </w:tc>
      </w:tr>
      <w:tr w14:paraId="09B1F5DE">
        <w:tblPrEx/>
        <w:trPr>
          <w:jc w:val="center"/>
        </w:trPr>
        <w:tc>
          <w:tcPr>
            <w:tcW w:w="3360" w:type="dxa"/>
            <w:tcBorders/>
            <w:vAlign w:val="center"/>
          </w:tcPr>
          <w:p w14:paraId="9791C75F">
            <w:pPr>
              <w:pStyle w:val="style0"/>
              <w:rPr>
                <w:color w:val="36363d"/>
              </w:rPr>
            </w:pPr>
            <w:r>
              <w:rPr>
                <w:rFonts w:ascii="Aptos" w:hAnsi="Aptos"/>
                <w:b w:val="false"/>
                <w:color w:val="36363d"/>
                <w:sz w:val="18"/>
              </w:rPr>
              <w:t>Day/night</w:t>
            </w:r>
          </w:p>
        </w:tc>
        <w:tc>
          <w:tcPr>
            <w:tcW w:w="3360" w:type="dxa"/>
            <w:tcBorders/>
            <w:vAlign w:val="center"/>
          </w:tcPr>
          <w:p w14:paraId="77D86A5B">
            <w:pPr>
              <w:pStyle w:val="style0"/>
              <w:rPr>
                <w:color w:val="36363d"/>
              </w:rPr>
            </w:pPr>
            <w:r>
              <w:rPr>
                <w:rFonts w:ascii="Aptos" w:hAnsi="Aptos"/>
                <w:b w:val="false"/>
                <w:color w:val="36363d"/>
                <w:sz w:val="18"/>
              </w:rPr>
              <w:t>Mostly daylight dependent</w:t>
            </w:r>
          </w:p>
        </w:tc>
        <w:tc>
          <w:tcPr>
            <w:tcW w:w="3360" w:type="dxa"/>
            <w:tcBorders/>
            <w:vAlign w:val="center"/>
          </w:tcPr>
          <w:p w14:paraId="1AA990A4">
            <w:pPr>
              <w:pStyle w:val="style0"/>
              <w:rPr>
                <w:color w:val="36363d"/>
              </w:rPr>
            </w:pPr>
            <w:r>
              <w:rPr>
                <w:rFonts w:ascii="Aptos" w:hAnsi="Aptos"/>
                <w:b w:val="false"/>
                <w:color w:val="36363d"/>
                <w:sz w:val="18"/>
              </w:rPr>
              <w:t>Day and night capable</w:t>
            </w:r>
          </w:p>
        </w:tc>
      </w:tr>
      <w:tr w14:paraId="8A3F8F96">
        <w:tblPrEx/>
        <w:trPr>
          <w:jc w:val="center"/>
        </w:trPr>
        <w:tc>
          <w:tcPr>
            <w:tcW w:w="3360" w:type="dxa"/>
            <w:tcBorders/>
            <w:vAlign w:val="center"/>
          </w:tcPr>
          <w:p w14:paraId="B7AE238F">
            <w:pPr>
              <w:pStyle w:val="style0"/>
              <w:rPr>
                <w:color w:val="36363d"/>
              </w:rPr>
            </w:pPr>
            <w:r>
              <w:rPr>
                <w:rFonts w:ascii="Aptos" w:hAnsi="Aptos"/>
                <w:b w:val="false"/>
                <w:color w:val="36363d"/>
                <w:sz w:val="18"/>
              </w:rPr>
              <w:t>Cloud sensitivity</w:t>
            </w:r>
          </w:p>
        </w:tc>
        <w:tc>
          <w:tcPr>
            <w:tcW w:w="3360" w:type="dxa"/>
            <w:tcBorders/>
            <w:vAlign w:val="center"/>
          </w:tcPr>
          <w:p w14:paraId="EFB6EB1A">
            <w:pPr>
              <w:pStyle w:val="style0"/>
              <w:rPr>
                <w:color w:val="36363d"/>
              </w:rPr>
            </w:pPr>
            <w:r>
              <w:rPr>
                <w:rFonts w:ascii="Aptos" w:hAnsi="Aptos"/>
                <w:b w:val="false"/>
                <w:color w:val="36363d"/>
                <w:sz w:val="18"/>
              </w:rPr>
              <w:t>High</w:t>
            </w:r>
          </w:p>
        </w:tc>
        <w:tc>
          <w:tcPr>
            <w:tcW w:w="3360" w:type="dxa"/>
            <w:tcBorders/>
            <w:vAlign w:val="center"/>
          </w:tcPr>
          <w:p w14:paraId="343A154D">
            <w:pPr>
              <w:pStyle w:val="style0"/>
              <w:rPr>
                <w:color w:val="36363d"/>
              </w:rPr>
            </w:pPr>
            <w:r>
              <w:rPr>
                <w:rFonts w:ascii="Aptos" w:hAnsi="Aptos"/>
                <w:b w:val="false"/>
                <w:color w:val="36363d"/>
                <w:sz w:val="18"/>
              </w:rPr>
              <w:t>Much lower for imaging</w:t>
            </w:r>
          </w:p>
        </w:tc>
      </w:tr>
      <w:tr w14:paraId="267CC46A">
        <w:tblPrEx/>
        <w:trPr>
          <w:jc w:val="center"/>
        </w:trPr>
        <w:tc>
          <w:tcPr>
            <w:tcW w:w="3360" w:type="dxa"/>
            <w:tcBorders/>
            <w:vAlign w:val="center"/>
          </w:tcPr>
          <w:p w14:paraId="A0D734BE">
            <w:pPr>
              <w:pStyle w:val="style0"/>
              <w:rPr>
                <w:color w:val="36363d"/>
              </w:rPr>
            </w:pPr>
            <w:r>
              <w:rPr>
                <w:rFonts w:ascii="Aptos" w:hAnsi="Aptos"/>
                <w:b w:val="false"/>
                <w:color w:val="36363d"/>
                <w:sz w:val="18"/>
              </w:rPr>
              <w:t>Vegetation information</w:t>
            </w:r>
          </w:p>
        </w:tc>
        <w:tc>
          <w:tcPr>
            <w:tcW w:w="3360" w:type="dxa"/>
            <w:tcBorders/>
            <w:vAlign w:val="center"/>
          </w:tcPr>
          <w:p w14:paraId="6F0F4D72">
            <w:pPr>
              <w:pStyle w:val="style0"/>
              <w:rPr>
                <w:color w:val="36363d"/>
              </w:rPr>
            </w:pPr>
            <w:r>
              <w:rPr>
                <w:rFonts w:ascii="Aptos" w:hAnsi="Aptos"/>
                <w:b w:val="false"/>
                <w:color w:val="36363d"/>
                <w:sz w:val="18"/>
              </w:rPr>
              <w:t>Excellent</w:t>
            </w:r>
          </w:p>
        </w:tc>
        <w:tc>
          <w:tcPr>
            <w:tcW w:w="3360" w:type="dxa"/>
            <w:tcBorders/>
            <w:vAlign w:val="center"/>
          </w:tcPr>
          <w:p w14:paraId="811E5274">
            <w:pPr>
              <w:pStyle w:val="style0"/>
              <w:rPr>
                <w:color w:val="36363d"/>
              </w:rPr>
            </w:pPr>
            <w:r>
              <w:rPr>
                <w:rFonts w:ascii="Aptos" w:hAnsi="Aptos"/>
                <w:b w:val="false"/>
                <w:color w:val="36363d"/>
                <w:sz w:val="18"/>
              </w:rPr>
              <w:t>Different radar response; interpretation depends on structure/moisture</w:t>
            </w:r>
          </w:p>
        </w:tc>
      </w:tr>
      <w:tr w14:paraId="239DF5F2">
        <w:tblPrEx/>
        <w:trPr>
          <w:jc w:val="center"/>
        </w:trPr>
        <w:tc>
          <w:tcPr>
            <w:tcW w:w="3360" w:type="dxa"/>
            <w:tcBorders/>
            <w:vAlign w:val="center"/>
          </w:tcPr>
          <w:p w14:paraId="D23C1D85">
            <w:pPr>
              <w:pStyle w:val="style0"/>
              <w:rPr>
                <w:color w:val="36363d"/>
              </w:rPr>
            </w:pPr>
            <w:r>
              <w:rPr>
                <w:rFonts w:ascii="Aptos" w:hAnsi="Aptos"/>
                <w:b w:val="false"/>
                <w:color w:val="36363d"/>
                <w:sz w:val="18"/>
              </w:rPr>
              <w:t>Surface deformation</w:t>
            </w:r>
          </w:p>
        </w:tc>
        <w:tc>
          <w:tcPr>
            <w:tcW w:w="3360" w:type="dxa"/>
            <w:tcBorders/>
            <w:vAlign w:val="center"/>
          </w:tcPr>
          <w:p w14:paraId="02805A1B">
            <w:pPr>
              <w:pStyle w:val="style0"/>
              <w:rPr>
                <w:color w:val="36363d"/>
              </w:rPr>
            </w:pPr>
            <w:r>
              <w:rPr>
                <w:rFonts w:ascii="Aptos" w:hAnsi="Aptos"/>
                <w:b w:val="false"/>
                <w:color w:val="36363d"/>
                <w:sz w:val="18"/>
              </w:rPr>
              <w:t>Indirect</w:t>
            </w:r>
          </w:p>
        </w:tc>
        <w:tc>
          <w:tcPr>
            <w:tcW w:w="3360" w:type="dxa"/>
            <w:tcBorders/>
            <w:vAlign w:val="center"/>
          </w:tcPr>
          <w:p w14:paraId="97D82D3A">
            <w:pPr>
              <w:pStyle w:val="style0"/>
              <w:rPr>
                <w:color w:val="36363d"/>
              </w:rPr>
            </w:pPr>
            <w:r>
              <w:rPr>
                <w:rFonts w:ascii="Aptos" w:hAnsi="Aptos"/>
                <w:b w:val="false"/>
                <w:color w:val="36363d"/>
                <w:sz w:val="18"/>
              </w:rPr>
              <w:t>Strong capability with InSAR</w:t>
            </w:r>
          </w:p>
        </w:tc>
      </w:tr>
      <w:tr w14:paraId="3DA445C9">
        <w:tblPrEx/>
        <w:trPr>
          <w:jc w:val="center"/>
        </w:trPr>
        <w:tc>
          <w:tcPr>
            <w:tcW w:w="3360" w:type="dxa"/>
            <w:tcBorders/>
            <w:vAlign w:val="center"/>
          </w:tcPr>
          <w:p w14:paraId="561AEB2A">
            <w:pPr>
              <w:pStyle w:val="style0"/>
              <w:rPr>
                <w:color w:val="36363d"/>
              </w:rPr>
            </w:pPr>
            <w:r>
              <w:rPr>
                <w:rFonts w:ascii="Aptos" w:hAnsi="Aptos"/>
                <w:b w:val="false"/>
                <w:color w:val="36363d"/>
                <w:sz w:val="18"/>
              </w:rPr>
              <w:t>Landslide scar mapping</w:t>
            </w:r>
          </w:p>
        </w:tc>
        <w:tc>
          <w:tcPr>
            <w:tcW w:w="3360" w:type="dxa"/>
            <w:tcBorders/>
            <w:vAlign w:val="center"/>
          </w:tcPr>
          <w:p w14:paraId="E571A052">
            <w:pPr>
              <w:pStyle w:val="style0"/>
              <w:rPr>
                <w:color w:val="36363d"/>
              </w:rPr>
            </w:pPr>
            <w:r>
              <w:rPr>
                <w:rFonts w:ascii="Aptos" w:hAnsi="Aptos"/>
                <w:b w:val="false"/>
                <w:color w:val="36363d"/>
                <w:sz w:val="18"/>
              </w:rPr>
              <w:t>Excellent when cloud-free</w:t>
            </w:r>
          </w:p>
        </w:tc>
        <w:tc>
          <w:tcPr>
            <w:tcW w:w="3360" w:type="dxa"/>
            <w:tcBorders/>
            <w:vAlign w:val="center"/>
          </w:tcPr>
          <w:p w14:paraId="E2EA8A91">
            <w:pPr>
              <w:pStyle w:val="style0"/>
              <w:rPr>
                <w:color w:val="36363d"/>
              </w:rPr>
            </w:pPr>
            <w:r>
              <w:rPr>
                <w:rFonts w:ascii="Aptos" w:hAnsi="Aptos"/>
                <w:b w:val="false"/>
                <w:color w:val="36363d"/>
                <w:sz w:val="18"/>
              </w:rPr>
              <w:t>Useful through backscatter/coherence change</w:t>
            </w:r>
          </w:p>
        </w:tc>
      </w:tr>
    </w:tbl>
    <w:p w14:paraId="F557384A">
      <w:pPr>
        <w:pStyle w:val="style0"/>
        <w:rPr>
          <w:color w:val="36363d"/>
        </w:rPr>
      </w:pPr>
      <w:r>
        <w:rPr>
          <w:color w:val="36363d"/>
        </w:rPr>
        <w:br w:type="page"/>
      </w:r>
    </w:p>
    <w:p w14:paraId="A5F8F830">
      <w:pPr>
        <w:pStyle w:val="style1"/>
        <w:rPr>
          <w:color w:val="36363d"/>
        </w:rPr>
      </w:pPr>
      <w:r>
        <w:rPr>
          <w:color w:val="36363d"/>
        </w:rPr>
        <w:t>Landsat, DEM and Terrain Analysis</w:t>
      </w:r>
    </w:p>
    <w:p w14:paraId="328F55F7">
      <w:pPr>
        <w:pStyle w:val="style2"/>
        <w:rPr>
          <w:color w:val="36363d"/>
        </w:rPr>
      </w:pPr>
      <w:r>
        <w:rPr>
          <w:color w:val="36363d"/>
        </w:rPr>
        <w:t xml:space="preserve"> Landsat as a historical baseline</w:t>
      </w:r>
    </w:p>
    <w:p w14:paraId="F7188BC4">
      <w:pPr>
        <w:pStyle w:val="style0"/>
        <w:rPr>
          <w:color w:val="36363d"/>
        </w:rPr>
      </w:pPr>
      <w:r>
        <w:rPr>
          <w:color w:val="36363d"/>
        </w:rPr>
        <w:t>Landsat provides a long-running Earth observation record that can be used to establish historical land-cover conditions and detect long-term environmental change. Landsat 8 and 9 are particularly useful as complementary datasets for historical analysis and cross-checking recent observations.</w:t>
      </w:r>
    </w:p>
    <w:p w14:paraId="A17D793F">
      <w:pPr>
        <w:pStyle w:val="style2"/>
        <w:rPr>
          <w:color w:val="36363d"/>
        </w:rPr>
      </w:pPr>
      <w:r>
        <w:rPr>
          <w:color w:val="36363d"/>
        </w:rPr>
        <w:t xml:space="preserve"> Digital Elevation Model (DEM)</w:t>
      </w:r>
    </w:p>
    <w:p w14:paraId="CF71EAD0">
      <w:pPr>
        <w:pStyle w:val="style0"/>
        <w:rPr>
          <w:color w:val="36363d"/>
        </w:rPr>
      </w:pPr>
      <w:r>
        <w:rPr>
          <w:color w:val="36363d"/>
        </w:rPr>
        <w:t>A DEM represents terrain elevation as a raster grid. It is foundational for landslide analysis because terrain geometry controls gravitational loading, drainage pathways and the spatial pattern of slope processes.</w:t>
      </w:r>
    </w:p>
    <w:p w14:paraId="6A89AC41">
      <w:pPr>
        <w:pStyle w:val="style2"/>
        <w:rPr>
          <w:color w:val="36363d"/>
        </w:rPr>
      </w:pPr>
      <w:r>
        <w:rPr>
          <w:color w:val="36363d"/>
        </w:rPr>
        <w:t xml:space="preserve"> Terrain variables</w:t>
      </w:r>
    </w:p>
    <w:tbl>
      <w:tblPr>
        <w:tblStyle w:val="style154"/>
        <w:tblW w:w="0" w:type="auto"/>
        <w:jc w:val="center"/>
        <w:tblLook w:val="04A0" w:firstRow="1" w:lastRow="0" w:firstColumn="1" w:lastColumn="0" w:noHBand="0" w:noVBand="1"/>
      </w:tblPr>
      <w:tblGrid>
        <w:gridCol w:w="3360"/>
        <w:gridCol w:w="3360"/>
        <w:gridCol w:w="3360"/>
      </w:tblGrid>
      <w:tr w14:paraId="1D440C7E">
        <w:trPr>
          <w:jc w:val="center"/>
        </w:trPr>
        <w:tc>
          <w:tcPr>
            <w:tcW w:w="3360" w:type="dxa"/>
            <w:tcBorders/>
            <w:shd w:val="nil" w:color="auto" w:fill="d9eaf7"/>
            <w:vAlign w:val="center"/>
          </w:tcPr>
          <w:p w14:paraId="58F9532D">
            <w:pPr>
              <w:pStyle w:val="style0"/>
              <w:rPr>
                <w:color w:val="36363d"/>
              </w:rPr>
            </w:pPr>
            <w:r>
              <w:rPr>
                <w:rFonts w:ascii="Aptos" w:hAnsi="Aptos"/>
                <w:b/>
                <w:color w:val="36363d"/>
                <w:sz w:val="18"/>
              </w:rPr>
              <w:t>Variable</w:t>
            </w:r>
          </w:p>
        </w:tc>
        <w:tc>
          <w:tcPr>
            <w:tcW w:w="3360" w:type="dxa"/>
            <w:tcBorders/>
            <w:shd w:val="nil" w:color="auto" w:fill="d9eaf7"/>
            <w:vAlign w:val="center"/>
          </w:tcPr>
          <w:p w14:paraId="818CB3CA">
            <w:pPr>
              <w:pStyle w:val="style0"/>
              <w:rPr>
                <w:color w:val="36363d"/>
              </w:rPr>
            </w:pPr>
            <w:r>
              <w:rPr>
                <w:rFonts w:ascii="Aptos" w:hAnsi="Aptos"/>
                <w:b/>
                <w:color w:val="36363d"/>
                <w:sz w:val="18"/>
              </w:rPr>
              <w:t>Meaning</w:t>
            </w:r>
          </w:p>
        </w:tc>
        <w:tc>
          <w:tcPr>
            <w:tcW w:w="3360" w:type="dxa"/>
            <w:tcBorders/>
            <w:shd w:val="nil" w:color="auto" w:fill="d9eaf7"/>
            <w:vAlign w:val="center"/>
          </w:tcPr>
          <w:p w14:paraId="BF6C1B3F">
            <w:pPr>
              <w:pStyle w:val="style0"/>
              <w:rPr>
                <w:color w:val="36363d"/>
              </w:rPr>
            </w:pPr>
            <w:r>
              <w:rPr>
                <w:rFonts w:ascii="Aptos" w:hAnsi="Aptos"/>
                <w:b/>
                <w:color w:val="36363d"/>
                <w:sz w:val="18"/>
              </w:rPr>
              <w:t>Why it matters</w:t>
            </w:r>
          </w:p>
        </w:tc>
      </w:tr>
      <w:tr w14:paraId="6786A659">
        <w:tblPrEx/>
        <w:trPr>
          <w:jc w:val="center"/>
        </w:trPr>
        <w:tc>
          <w:tcPr>
            <w:tcW w:w="3360" w:type="dxa"/>
            <w:tcBorders/>
            <w:vAlign w:val="center"/>
          </w:tcPr>
          <w:p w14:paraId="898251AC">
            <w:pPr>
              <w:pStyle w:val="style0"/>
              <w:rPr>
                <w:color w:val="36363d"/>
              </w:rPr>
            </w:pPr>
            <w:r>
              <w:rPr>
                <w:rFonts w:ascii="Aptos" w:hAnsi="Aptos"/>
                <w:b w:val="false"/>
                <w:color w:val="36363d"/>
                <w:sz w:val="18"/>
              </w:rPr>
              <w:t>Elevation</w:t>
            </w:r>
          </w:p>
        </w:tc>
        <w:tc>
          <w:tcPr>
            <w:tcW w:w="3360" w:type="dxa"/>
            <w:tcBorders/>
            <w:vAlign w:val="center"/>
          </w:tcPr>
          <w:p w14:paraId="1D9AB47C">
            <w:pPr>
              <w:pStyle w:val="style0"/>
              <w:rPr>
                <w:color w:val="36363d"/>
              </w:rPr>
            </w:pPr>
            <w:r>
              <w:rPr>
                <w:rFonts w:ascii="Aptos" w:hAnsi="Aptos"/>
                <w:b w:val="false"/>
                <w:color w:val="36363d"/>
                <w:sz w:val="18"/>
              </w:rPr>
              <w:t>Height above reference surface</w:t>
            </w:r>
          </w:p>
        </w:tc>
        <w:tc>
          <w:tcPr>
            <w:tcW w:w="3360" w:type="dxa"/>
            <w:tcBorders/>
            <w:vAlign w:val="center"/>
          </w:tcPr>
          <w:p w14:paraId="A9597724">
            <w:pPr>
              <w:pStyle w:val="style0"/>
              <w:rPr>
                <w:color w:val="36363d"/>
              </w:rPr>
            </w:pPr>
            <w:r>
              <w:rPr>
                <w:rFonts w:ascii="Aptos" w:hAnsi="Aptos"/>
                <w:b w:val="false"/>
                <w:color w:val="36363d"/>
                <w:sz w:val="18"/>
              </w:rPr>
              <w:t>Provides terrain context and can correlate with environmental gradients</w:t>
            </w:r>
          </w:p>
        </w:tc>
      </w:tr>
      <w:tr w14:paraId="AF8E9A04">
        <w:tblPrEx/>
        <w:trPr>
          <w:jc w:val="center"/>
        </w:trPr>
        <w:tc>
          <w:tcPr>
            <w:tcW w:w="3360" w:type="dxa"/>
            <w:tcBorders/>
            <w:vAlign w:val="center"/>
          </w:tcPr>
          <w:p w14:paraId="03FD5F96">
            <w:pPr>
              <w:pStyle w:val="style0"/>
              <w:rPr>
                <w:color w:val="36363d"/>
              </w:rPr>
            </w:pPr>
            <w:r>
              <w:rPr>
                <w:rFonts w:ascii="Aptos" w:hAnsi="Aptos"/>
                <w:b w:val="false"/>
                <w:color w:val="36363d"/>
                <w:sz w:val="18"/>
              </w:rPr>
              <w:t>Slope</w:t>
            </w:r>
          </w:p>
        </w:tc>
        <w:tc>
          <w:tcPr>
            <w:tcW w:w="3360" w:type="dxa"/>
            <w:tcBorders/>
            <w:vAlign w:val="center"/>
          </w:tcPr>
          <w:p w14:paraId="D6F9011E">
            <w:pPr>
              <w:pStyle w:val="style0"/>
              <w:rPr>
                <w:color w:val="36363d"/>
              </w:rPr>
            </w:pPr>
            <w:r>
              <w:rPr>
                <w:rFonts w:ascii="Aptos" w:hAnsi="Aptos"/>
                <w:b w:val="false"/>
                <w:color w:val="36363d"/>
                <w:sz w:val="18"/>
              </w:rPr>
              <w:t>Steepness of terrain</w:t>
            </w:r>
          </w:p>
        </w:tc>
        <w:tc>
          <w:tcPr>
            <w:tcW w:w="3360" w:type="dxa"/>
            <w:tcBorders/>
            <w:vAlign w:val="center"/>
          </w:tcPr>
          <w:p w14:paraId="ECE47B05">
            <w:pPr>
              <w:pStyle w:val="style0"/>
              <w:rPr>
                <w:color w:val="36363d"/>
              </w:rPr>
            </w:pPr>
            <w:r>
              <w:rPr>
                <w:rFonts w:ascii="Aptos" w:hAnsi="Aptos"/>
                <w:b w:val="false"/>
                <w:color w:val="36363d"/>
                <w:sz w:val="18"/>
              </w:rPr>
              <w:t>One of the most important susceptibility variables</w:t>
            </w:r>
          </w:p>
        </w:tc>
      </w:tr>
      <w:tr w14:paraId="5F1F924E">
        <w:tblPrEx/>
        <w:trPr>
          <w:jc w:val="center"/>
        </w:trPr>
        <w:tc>
          <w:tcPr>
            <w:tcW w:w="3360" w:type="dxa"/>
            <w:tcBorders/>
            <w:vAlign w:val="center"/>
          </w:tcPr>
          <w:p w14:paraId="B3E55BC0">
            <w:pPr>
              <w:pStyle w:val="style0"/>
              <w:rPr>
                <w:color w:val="36363d"/>
              </w:rPr>
            </w:pPr>
            <w:r>
              <w:rPr>
                <w:rFonts w:ascii="Aptos" w:hAnsi="Aptos"/>
                <w:b w:val="false"/>
                <w:color w:val="36363d"/>
                <w:sz w:val="18"/>
              </w:rPr>
              <w:t>Aspect</w:t>
            </w:r>
          </w:p>
        </w:tc>
        <w:tc>
          <w:tcPr>
            <w:tcW w:w="3360" w:type="dxa"/>
            <w:tcBorders/>
            <w:vAlign w:val="center"/>
          </w:tcPr>
          <w:p w14:paraId="A8EC1910">
            <w:pPr>
              <w:pStyle w:val="style0"/>
              <w:rPr>
                <w:color w:val="36363d"/>
              </w:rPr>
            </w:pPr>
            <w:r>
              <w:rPr>
                <w:rFonts w:ascii="Aptos" w:hAnsi="Aptos"/>
                <w:b w:val="false"/>
                <w:color w:val="36363d"/>
                <w:sz w:val="18"/>
              </w:rPr>
              <w:t>Direction a slope faces</w:t>
            </w:r>
          </w:p>
        </w:tc>
        <w:tc>
          <w:tcPr>
            <w:tcW w:w="3360" w:type="dxa"/>
            <w:tcBorders/>
            <w:vAlign w:val="center"/>
          </w:tcPr>
          <w:p w14:paraId="32D31674">
            <w:pPr>
              <w:pStyle w:val="style0"/>
              <w:rPr>
                <w:color w:val="36363d"/>
              </w:rPr>
            </w:pPr>
            <w:r>
              <w:rPr>
                <w:rFonts w:ascii="Aptos" w:hAnsi="Aptos"/>
                <w:b w:val="false"/>
                <w:color w:val="36363d"/>
                <w:sz w:val="18"/>
              </w:rPr>
              <w:t>Influences solar exposure, vegetation and moisture conditions</w:t>
            </w:r>
          </w:p>
        </w:tc>
      </w:tr>
      <w:tr w14:paraId="8A210F5A">
        <w:tblPrEx/>
        <w:trPr>
          <w:jc w:val="center"/>
        </w:trPr>
        <w:tc>
          <w:tcPr>
            <w:tcW w:w="3360" w:type="dxa"/>
            <w:tcBorders/>
            <w:vAlign w:val="center"/>
          </w:tcPr>
          <w:p w14:paraId="4D27DB60">
            <w:pPr>
              <w:pStyle w:val="style0"/>
              <w:rPr>
                <w:color w:val="36363d"/>
              </w:rPr>
            </w:pPr>
            <w:r>
              <w:rPr>
                <w:rFonts w:ascii="Aptos" w:hAnsi="Aptos"/>
                <w:b w:val="false"/>
                <w:color w:val="36363d"/>
                <w:sz w:val="18"/>
              </w:rPr>
              <w:t>Curvature</w:t>
            </w:r>
          </w:p>
        </w:tc>
        <w:tc>
          <w:tcPr>
            <w:tcW w:w="3360" w:type="dxa"/>
            <w:tcBorders/>
            <w:vAlign w:val="center"/>
          </w:tcPr>
          <w:p w14:paraId="F39F05A2">
            <w:pPr>
              <w:pStyle w:val="style0"/>
              <w:rPr>
                <w:color w:val="36363d"/>
              </w:rPr>
            </w:pPr>
            <w:r>
              <w:rPr>
                <w:rFonts w:ascii="Aptos" w:hAnsi="Aptos"/>
                <w:b w:val="false"/>
                <w:color w:val="36363d"/>
                <w:sz w:val="18"/>
              </w:rPr>
              <w:t>Concavity/convexity</w:t>
            </w:r>
          </w:p>
        </w:tc>
        <w:tc>
          <w:tcPr>
            <w:tcW w:w="3360" w:type="dxa"/>
            <w:tcBorders/>
            <w:vAlign w:val="center"/>
          </w:tcPr>
          <w:p w14:paraId="A75A3C44">
            <w:pPr>
              <w:pStyle w:val="style0"/>
              <w:rPr>
                <w:color w:val="36363d"/>
              </w:rPr>
            </w:pPr>
            <w:r>
              <w:rPr>
                <w:rFonts w:ascii="Aptos" w:hAnsi="Aptos"/>
                <w:b w:val="false"/>
                <w:color w:val="36363d"/>
                <w:sz w:val="18"/>
              </w:rPr>
              <w:t>Can indicate convergence/divergence of flow and terrain form</w:t>
            </w:r>
          </w:p>
        </w:tc>
      </w:tr>
      <w:tr w14:paraId="266C4FC0">
        <w:tblPrEx/>
        <w:trPr>
          <w:jc w:val="center"/>
        </w:trPr>
        <w:tc>
          <w:tcPr>
            <w:tcW w:w="3360" w:type="dxa"/>
            <w:tcBorders/>
            <w:vAlign w:val="center"/>
          </w:tcPr>
          <w:p w14:paraId="F9795773">
            <w:pPr>
              <w:pStyle w:val="style0"/>
              <w:rPr>
                <w:color w:val="36363d"/>
              </w:rPr>
            </w:pPr>
            <w:r>
              <w:rPr>
                <w:rFonts w:ascii="Aptos" w:hAnsi="Aptos"/>
                <w:b w:val="false"/>
                <w:color w:val="36363d"/>
                <w:sz w:val="18"/>
              </w:rPr>
              <w:t>Flow accumulation</w:t>
            </w:r>
          </w:p>
        </w:tc>
        <w:tc>
          <w:tcPr>
            <w:tcW w:w="3360" w:type="dxa"/>
            <w:tcBorders/>
            <w:vAlign w:val="center"/>
          </w:tcPr>
          <w:p w14:paraId="6A4F3795">
            <w:pPr>
              <w:pStyle w:val="style0"/>
              <w:rPr>
                <w:color w:val="36363d"/>
              </w:rPr>
            </w:pPr>
            <w:r>
              <w:rPr>
                <w:rFonts w:ascii="Aptos" w:hAnsi="Aptos"/>
                <w:b w:val="false"/>
                <w:color w:val="36363d"/>
                <w:sz w:val="18"/>
              </w:rPr>
              <w:t>Upslope contributing area</w:t>
            </w:r>
          </w:p>
        </w:tc>
        <w:tc>
          <w:tcPr>
            <w:tcW w:w="3360" w:type="dxa"/>
            <w:tcBorders/>
            <w:vAlign w:val="center"/>
          </w:tcPr>
          <w:p w14:paraId="03917917">
            <w:pPr>
              <w:pStyle w:val="style0"/>
              <w:rPr>
                <w:color w:val="36363d"/>
              </w:rPr>
            </w:pPr>
            <w:r>
              <w:rPr>
                <w:rFonts w:ascii="Aptos" w:hAnsi="Aptos"/>
                <w:b w:val="false"/>
                <w:color w:val="36363d"/>
                <w:sz w:val="18"/>
              </w:rPr>
              <w:t>Helps identify drainage concentration</w:t>
            </w:r>
          </w:p>
        </w:tc>
      </w:tr>
      <w:tr w14:paraId="4A72E59C">
        <w:tblPrEx/>
        <w:trPr>
          <w:jc w:val="center"/>
        </w:trPr>
        <w:tc>
          <w:tcPr>
            <w:tcW w:w="3360" w:type="dxa"/>
            <w:tcBorders/>
            <w:vAlign w:val="center"/>
          </w:tcPr>
          <w:p w14:paraId="A515F6EE">
            <w:pPr>
              <w:pStyle w:val="style0"/>
              <w:rPr>
                <w:color w:val="36363d"/>
              </w:rPr>
            </w:pPr>
            <w:r>
              <w:rPr>
                <w:rFonts w:ascii="Aptos" w:hAnsi="Aptos"/>
                <w:b w:val="false"/>
                <w:color w:val="36363d"/>
                <w:sz w:val="18"/>
              </w:rPr>
              <w:t>Drainage density</w:t>
            </w:r>
          </w:p>
        </w:tc>
        <w:tc>
          <w:tcPr>
            <w:tcW w:w="3360" w:type="dxa"/>
            <w:tcBorders/>
            <w:vAlign w:val="center"/>
          </w:tcPr>
          <w:p w14:paraId="1B5A94B5">
            <w:pPr>
              <w:pStyle w:val="style0"/>
              <w:rPr>
                <w:color w:val="36363d"/>
              </w:rPr>
            </w:pPr>
            <w:r>
              <w:rPr>
                <w:rFonts w:ascii="Aptos" w:hAnsi="Aptos"/>
                <w:b w:val="false"/>
                <w:color w:val="36363d"/>
                <w:sz w:val="18"/>
              </w:rPr>
              <w:t>Length/density of drainage features</w:t>
            </w:r>
          </w:p>
        </w:tc>
        <w:tc>
          <w:tcPr>
            <w:tcW w:w="3360" w:type="dxa"/>
            <w:tcBorders/>
            <w:vAlign w:val="center"/>
          </w:tcPr>
          <w:p w14:paraId="CA5F1ACE">
            <w:pPr>
              <w:pStyle w:val="style0"/>
              <w:rPr>
                <w:color w:val="36363d"/>
              </w:rPr>
            </w:pPr>
            <w:r>
              <w:rPr>
                <w:rFonts w:ascii="Aptos" w:hAnsi="Aptos"/>
                <w:b w:val="false"/>
                <w:color w:val="36363d"/>
                <w:sz w:val="18"/>
              </w:rPr>
              <w:t>Can represent erosion and water-concentration conditions</w:t>
            </w:r>
          </w:p>
        </w:tc>
      </w:tr>
    </w:tbl>
    <w:p w14:paraId="5F342DB3">
      <w:pPr>
        <w:pStyle w:val="style2"/>
        <w:rPr>
          <w:color w:val="36363d"/>
        </w:rPr>
      </w:pPr>
      <w:r>
        <w:rPr>
          <w:color w:val="36363d"/>
        </w:rPr>
        <w:t xml:space="preserve"> Slope</w:t>
      </w:r>
    </w:p>
    <w:p w14:paraId="B17200C7">
      <w:pPr>
        <w:pStyle w:val="style0"/>
        <w:rPr>
          <w:color w:val="36363d"/>
        </w:rPr>
      </w:pPr>
      <w:r>
        <w:rPr>
          <w:color w:val="36363d"/>
        </w:rPr>
        <w:t>Steeper terrain generally has a larger downslope gravitational component, but slope is not a sufficient stand-alone predictor. A steep slope can remain stable when rock strength, drainage and vegetation are favourable, while a lower-angle slope may fail when weak soil, intense rainfall, road cutting or poor drainage is present.</w:t>
      </w:r>
    </w:p>
    <w:p w14:paraId="B00F769B">
      <w:pPr>
        <w:pStyle w:val="style2"/>
        <w:rPr>
          <w:color w:val="36363d"/>
        </w:rPr>
      </w:pPr>
      <w:r>
        <w:rPr>
          <w:color w:val="36363d"/>
        </w:rPr>
        <w:t xml:space="preserve"> Terrain-processing workflow</w:t>
      </w:r>
    </w:p>
    <w:p w14:paraId="0AFC7AB3">
      <w:pPr>
        <w:pStyle w:val="style0"/>
        <w:ind w:left="288" w:right="288"/>
        <w:rPr>
          <w:color w:val="36363d"/>
        </w:rPr>
      </w:pPr>
      <w:r>
        <w:rPr>
          <w:rFonts w:ascii="Consolas" w:hAnsi="Consolas"/>
          <w:color w:val="36363d"/>
          <w:sz w:val="17"/>
        </w:rPr>
        <w:t>DEM → Fill/condition sinks → Derive slope/aspect/curvature →</w:t>
      </w:r>
      <w:r>
        <w:rPr>
          <w:rFonts w:ascii="Consolas" w:hAnsi="Consolas"/>
          <w:color w:val="36363d"/>
          <w:sz w:val="17"/>
        </w:rPr>
        <w:br/>
      </w:r>
      <w:r>
        <w:rPr>
          <w:rFonts w:ascii="Consolas" w:hAnsi="Consolas"/>
          <w:color w:val="36363d"/>
          <w:sz w:val="17"/>
        </w:rPr>
        <w:t>derive drainage/flow accumulation → resample/reproject → GIS feature stack</w:t>
      </w:r>
    </w:p>
    <w:p w14:paraId="B8DC3EB2">
      <w:pPr>
        <w:pStyle w:val="style2"/>
        <w:rPr>
          <w:color w:val="36363d"/>
        </w:rPr>
      </w:pPr>
      <w:r>
        <w:rPr>
          <w:color w:val="36363d"/>
        </w:rPr>
        <w:t xml:space="preserve"> Recommended DEM sources</w:t>
      </w:r>
    </w:p>
    <w:p w14:paraId="57A36CC1">
      <w:pPr>
        <w:pStyle w:val="style0"/>
        <w:rPr>
          <w:color w:val="36363d"/>
        </w:rPr>
      </w:pPr>
      <w:r>
        <w:rPr>
          <w:color w:val="36363d"/>
        </w:rPr>
        <w:t>SRTM is a strong global baseline for prototyping. For India-specific work, Bhuvan/NRSC and CartoDEM resources can be evaluated where their resolution and access are suitable for the target area.</w:t>
      </w:r>
    </w:p>
    <w:p w14:paraId="BBC3B417">
      <w:pPr>
        <w:pStyle w:val="style0"/>
        <w:rPr>
          <w:color w:val="36363d"/>
        </w:rPr>
      </w:pPr>
      <w:r>
        <w:rPr>
          <w:color w:val="36363d"/>
        </w:rPr>
        <w:br w:type="page"/>
      </w:r>
    </w:p>
    <w:p w14:paraId="217B956B">
      <w:pPr>
        <w:pStyle w:val="style1"/>
        <w:rPr>
          <w:color w:val="36363d"/>
        </w:rPr>
      </w:pPr>
      <w:r>
        <w:rPr>
          <w:color w:val="36363d"/>
        </w:rPr>
        <w:t xml:space="preserve"> NDVI, Soil Moisture and Satellite Change Detection</w:t>
      </w:r>
    </w:p>
    <w:p w14:paraId="B28DE3B9">
      <w:pPr>
        <w:pStyle w:val="style2"/>
        <w:rPr>
          <w:color w:val="36363d"/>
        </w:rPr>
      </w:pPr>
      <w:r>
        <w:rPr>
          <w:color w:val="36363d"/>
        </w:rPr>
        <w:t xml:space="preserve"> NDVI</w:t>
      </w:r>
    </w:p>
    <w:p w14:paraId="915C9BB1">
      <w:pPr>
        <w:pStyle w:val="style0"/>
        <w:rPr>
          <w:color w:val="36363d"/>
        </w:rPr>
      </w:pPr>
      <w:r>
        <w:rPr>
          <w:color w:val="36363d"/>
        </w:rPr>
        <w:t>A common vegetation index is:</w:t>
      </w:r>
    </w:p>
    <w:p w14:paraId="06DEB652">
      <w:pPr>
        <w:pStyle w:val="style0"/>
        <w:jc w:val="center"/>
        <w:rPr>
          <w:color w:val="36363d"/>
        </w:rPr>
      </w:pPr>
      <w:r>
        <w:rPr>
          <w:b/>
          <w:color w:val="36363d"/>
        </w:rPr>
        <w:t>NDVI = (NIR − Red) / (NIR + Red)</w:t>
      </w:r>
    </w:p>
    <w:p w14:paraId="72730D83">
      <w:pPr>
        <w:pStyle w:val="style0"/>
        <w:rPr>
          <w:color w:val="36363d"/>
        </w:rPr>
      </w:pPr>
      <w:r>
        <w:rPr>
          <w:color w:val="36363d"/>
        </w:rPr>
        <w:t>Healthy vegetation usually produces relatively high NDVI. A landslide can remove vegetation and expose soil or rock, causing a detectable spectral change. However, NDVI decline can also result from agriculture, seasonal variation, fire, logging or construction, so it should be combined with other evidence.</w:t>
      </w:r>
    </w:p>
    <w:p w14:paraId="DB2EC88D">
      <w:pPr>
        <w:pStyle w:val="style2"/>
        <w:rPr>
          <w:color w:val="36363d"/>
        </w:rPr>
      </w:pPr>
      <w:r>
        <w:rPr>
          <w:color w:val="36363d"/>
        </w:rPr>
        <w:t>Moisture-sensitive information</w:t>
      </w:r>
    </w:p>
    <w:p w14:paraId="9D9FE7E6">
      <w:pPr>
        <w:pStyle w:val="style0"/>
        <w:rPr>
          <w:color w:val="36363d"/>
        </w:rPr>
      </w:pPr>
      <w:r>
        <w:rPr>
          <w:color w:val="36363d"/>
        </w:rPr>
        <w:t>Near-infrared and short-wave infrared bands can support vegetation-moisture and surface-moisture analysis. Satellite soil-moisture products can provide regional wetness context, although their spatial resolution may be too coarse to represent an individual small landslide.</w:t>
      </w:r>
    </w:p>
    <w:p w14:paraId="B4E44851">
      <w:pPr>
        <w:pStyle w:val="style2"/>
        <w:rPr>
          <w:color w:val="36363d"/>
        </w:rPr>
      </w:pPr>
      <w:r>
        <w:rPr>
          <w:color w:val="36363d"/>
        </w:rPr>
        <w:t xml:space="preserve"> Why soil moisture matters</w:t>
      </w:r>
    </w:p>
    <w:p w14:paraId="B493B3CD">
      <w:pPr>
        <w:pStyle w:val="style0"/>
        <w:rPr>
          <w:color w:val="36363d"/>
        </w:rPr>
      </w:pPr>
      <w:r>
        <w:rPr>
          <w:color w:val="36363d"/>
        </w:rPr>
        <w:t>Rainwater infiltration can increase pore-water pressure and reduce effective normal stress. A simplified effective-stress relationship for shear strength is:</w:t>
      </w:r>
    </w:p>
    <w:p w14:paraId="9C763E33">
      <w:pPr>
        <w:pStyle w:val="style0"/>
        <w:jc w:val="center"/>
        <w:rPr>
          <w:color w:val="36363d"/>
        </w:rPr>
      </w:pPr>
      <w:r>
        <w:rPr>
          <w:b/>
          <w:color w:val="36363d"/>
        </w:rPr>
        <w:t>τ = c′ + (σn − u) tan φ′</w:t>
      </w:r>
    </w:p>
    <w:p w14:paraId="1F5C330E">
      <w:pPr>
        <w:pStyle w:val="style0"/>
        <w:rPr>
          <w:color w:val="36363d"/>
        </w:rPr>
      </w:pPr>
      <w:r>
        <w:rPr>
          <w:color w:val="36363d"/>
        </w:rPr>
        <w:t>where τ is shear strength, c′ is effective cohesion, σn is normal stress, u is pore-water pressure and φ′ is effective friction angle. Increasing pore pressure can reduce the effective stress available to resist sliding.</w:t>
      </w:r>
    </w:p>
    <w:p w14:paraId="2D45765A">
      <w:pPr>
        <w:pStyle w:val="style2"/>
        <w:rPr>
          <w:color w:val="36363d"/>
        </w:rPr>
      </w:pPr>
      <w:r>
        <w:rPr>
          <w:color w:val="36363d"/>
        </w:rPr>
        <w:t xml:space="preserve"> Change detection</w:t>
      </w:r>
    </w:p>
    <w:tbl>
      <w:tblPr>
        <w:tblStyle w:val="style154"/>
        <w:tblW w:w="0" w:type="auto"/>
        <w:jc w:val="center"/>
        <w:tblLook w:val="04A0" w:firstRow="1" w:lastRow="0" w:firstColumn="1" w:lastColumn="0" w:noHBand="0" w:noVBand="1"/>
      </w:tblPr>
      <w:tblGrid>
        <w:gridCol w:w="3360"/>
        <w:gridCol w:w="3360"/>
        <w:gridCol w:w="3360"/>
      </w:tblGrid>
      <w:tr w14:paraId="DAB8777D">
        <w:trPr>
          <w:jc w:val="center"/>
        </w:trPr>
        <w:tc>
          <w:tcPr>
            <w:tcW w:w="3360" w:type="dxa"/>
            <w:tcBorders/>
            <w:shd w:val="nil" w:color="auto" w:fill="d9eaf7"/>
            <w:vAlign w:val="center"/>
          </w:tcPr>
          <w:p w14:paraId="73573D87">
            <w:pPr>
              <w:pStyle w:val="style0"/>
              <w:rPr>
                <w:color w:val="36363d"/>
              </w:rPr>
            </w:pPr>
            <w:r>
              <w:rPr>
                <w:rFonts w:ascii="Aptos" w:hAnsi="Aptos"/>
                <w:b/>
                <w:color w:val="36363d"/>
                <w:sz w:val="18"/>
              </w:rPr>
              <w:t>Technique</w:t>
            </w:r>
          </w:p>
        </w:tc>
        <w:tc>
          <w:tcPr>
            <w:tcW w:w="3360" w:type="dxa"/>
            <w:tcBorders/>
            <w:shd w:val="nil" w:color="auto" w:fill="d9eaf7"/>
            <w:vAlign w:val="center"/>
          </w:tcPr>
          <w:p w14:paraId="43205C2F">
            <w:pPr>
              <w:pStyle w:val="style0"/>
              <w:rPr>
                <w:color w:val="36363d"/>
              </w:rPr>
            </w:pPr>
            <w:r>
              <w:rPr>
                <w:rFonts w:ascii="Aptos" w:hAnsi="Aptos"/>
                <w:b/>
                <w:color w:val="36363d"/>
                <w:sz w:val="18"/>
              </w:rPr>
              <w:t>Possible signal</w:t>
            </w:r>
          </w:p>
        </w:tc>
        <w:tc>
          <w:tcPr>
            <w:tcW w:w="3360" w:type="dxa"/>
            <w:tcBorders/>
            <w:shd w:val="nil" w:color="auto" w:fill="d9eaf7"/>
            <w:vAlign w:val="center"/>
          </w:tcPr>
          <w:p w14:paraId="2F6F439E">
            <w:pPr>
              <w:pStyle w:val="style0"/>
              <w:rPr>
                <w:color w:val="36363d"/>
              </w:rPr>
            </w:pPr>
            <w:r>
              <w:rPr>
                <w:rFonts w:ascii="Aptos" w:hAnsi="Aptos"/>
                <w:b/>
                <w:color w:val="36363d"/>
                <w:sz w:val="18"/>
              </w:rPr>
              <w:t>Main caution</w:t>
            </w:r>
          </w:p>
        </w:tc>
      </w:tr>
      <w:tr w14:paraId="C04DF524">
        <w:tblPrEx/>
        <w:trPr>
          <w:jc w:val="center"/>
        </w:trPr>
        <w:tc>
          <w:tcPr>
            <w:tcW w:w="3360" w:type="dxa"/>
            <w:tcBorders/>
            <w:vAlign w:val="center"/>
          </w:tcPr>
          <w:p w14:paraId="00BA7556">
            <w:pPr>
              <w:pStyle w:val="style0"/>
              <w:rPr>
                <w:color w:val="36363d"/>
              </w:rPr>
            </w:pPr>
            <w:r>
              <w:rPr>
                <w:rFonts w:ascii="Aptos" w:hAnsi="Aptos"/>
                <w:b w:val="false"/>
                <w:color w:val="36363d"/>
                <w:sz w:val="18"/>
              </w:rPr>
              <w:t>Optical spectral change</w:t>
            </w:r>
          </w:p>
        </w:tc>
        <w:tc>
          <w:tcPr>
            <w:tcW w:w="3360" w:type="dxa"/>
            <w:tcBorders/>
            <w:vAlign w:val="center"/>
          </w:tcPr>
          <w:p w14:paraId="81268621">
            <w:pPr>
              <w:pStyle w:val="style0"/>
              <w:rPr>
                <w:color w:val="36363d"/>
              </w:rPr>
            </w:pPr>
            <w:r>
              <w:rPr>
                <w:rFonts w:ascii="Aptos" w:hAnsi="Aptos"/>
                <w:b w:val="false"/>
                <w:color w:val="36363d"/>
                <w:sz w:val="18"/>
              </w:rPr>
              <w:t>Bare soil, vegetation loss, new scar</w:t>
            </w:r>
          </w:p>
        </w:tc>
        <w:tc>
          <w:tcPr>
            <w:tcW w:w="3360" w:type="dxa"/>
            <w:tcBorders/>
            <w:vAlign w:val="center"/>
          </w:tcPr>
          <w:p w14:paraId="1D1A6CC0">
            <w:pPr>
              <w:pStyle w:val="style0"/>
              <w:rPr>
                <w:color w:val="36363d"/>
              </w:rPr>
            </w:pPr>
            <w:r>
              <w:rPr>
                <w:rFonts w:ascii="Aptos" w:hAnsi="Aptos"/>
                <w:b w:val="false"/>
                <w:color w:val="36363d"/>
                <w:sz w:val="18"/>
              </w:rPr>
              <w:t>Clouds and seasonal effects</w:t>
            </w:r>
          </w:p>
        </w:tc>
      </w:tr>
      <w:tr w14:paraId="C618472B">
        <w:tblPrEx/>
        <w:trPr>
          <w:jc w:val="center"/>
        </w:trPr>
        <w:tc>
          <w:tcPr>
            <w:tcW w:w="3360" w:type="dxa"/>
            <w:tcBorders/>
            <w:vAlign w:val="center"/>
          </w:tcPr>
          <w:p w14:paraId="D99DEED1">
            <w:pPr>
              <w:pStyle w:val="style0"/>
              <w:rPr>
                <w:color w:val="36363d"/>
              </w:rPr>
            </w:pPr>
            <w:r>
              <w:rPr>
                <w:rFonts w:ascii="Aptos" w:hAnsi="Aptos"/>
                <w:b w:val="false"/>
                <w:color w:val="36363d"/>
                <w:sz w:val="18"/>
              </w:rPr>
              <w:t>NDVI time series</w:t>
            </w:r>
          </w:p>
        </w:tc>
        <w:tc>
          <w:tcPr>
            <w:tcW w:w="3360" w:type="dxa"/>
            <w:tcBorders/>
            <w:vAlign w:val="center"/>
          </w:tcPr>
          <w:p w14:paraId="73050663">
            <w:pPr>
              <w:pStyle w:val="style0"/>
              <w:rPr>
                <w:color w:val="36363d"/>
              </w:rPr>
            </w:pPr>
            <w:r>
              <w:rPr>
                <w:rFonts w:ascii="Aptos" w:hAnsi="Aptos"/>
                <w:b w:val="false"/>
                <w:color w:val="36363d"/>
                <w:sz w:val="18"/>
              </w:rPr>
              <w:t>Vegetation disturbance</w:t>
            </w:r>
          </w:p>
        </w:tc>
        <w:tc>
          <w:tcPr>
            <w:tcW w:w="3360" w:type="dxa"/>
            <w:tcBorders/>
            <w:vAlign w:val="center"/>
          </w:tcPr>
          <w:p w14:paraId="48592580">
            <w:pPr>
              <w:pStyle w:val="style0"/>
              <w:rPr>
                <w:color w:val="36363d"/>
              </w:rPr>
            </w:pPr>
            <w:r>
              <w:rPr>
                <w:rFonts w:ascii="Aptos" w:hAnsi="Aptos"/>
                <w:b w:val="false"/>
                <w:color w:val="36363d"/>
                <w:sz w:val="18"/>
              </w:rPr>
              <w:t>Agriculture/seasonality can create false positives</w:t>
            </w:r>
          </w:p>
        </w:tc>
      </w:tr>
      <w:tr w14:paraId="1A6D2289">
        <w:tblPrEx/>
        <w:trPr>
          <w:jc w:val="center"/>
        </w:trPr>
        <w:tc>
          <w:tcPr>
            <w:tcW w:w="3360" w:type="dxa"/>
            <w:tcBorders/>
            <w:vAlign w:val="center"/>
          </w:tcPr>
          <w:p w14:paraId="4EB3EBC2">
            <w:pPr>
              <w:pStyle w:val="style0"/>
              <w:rPr>
                <w:color w:val="36363d"/>
              </w:rPr>
            </w:pPr>
            <w:r>
              <w:rPr>
                <w:rFonts w:ascii="Aptos" w:hAnsi="Aptos"/>
                <w:b w:val="false"/>
                <w:color w:val="36363d"/>
                <w:sz w:val="18"/>
              </w:rPr>
              <w:t>SAR backscatter change</w:t>
            </w:r>
          </w:p>
        </w:tc>
        <w:tc>
          <w:tcPr>
            <w:tcW w:w="3360" w:type="dxa"/>
            <w:tcBorders/>
            <w:vAlign w:val="center"/>
          </w:tcPr>
          <w:p w14:paraId="85645C7E">
            <w:pPr>
              <w:pStyle w:val="style0"/>
              <w:rPr>
                <w:color w:val="36363d"/>
              </w:rPr>
            </w:pPr>
            <w:r>
              <w:rPr>
                <w:rFonts w:ascii="Aptos" w:hAnsi="Aptos"/>
                <w:b w:val="false"/>
                <w:color w:val="36363d"/>
                <w:sz w:val="18"/>
              </w:rPr>
              <w:t>Surface/roughness/moisture change</w:t>
            </w:r>
          </w:p>
        </w:tc>
        <w:tc>
          <w:tcPr>
            <w:tcW w:w="3360" w:type="dxa"/>
            <w:tcBorders/>
            <w:vAlign w:val="center"/>
          </w:tcPr>
          <w:p w14:paraId="9191E0E3">
            <w:pPr>
              <w:pStyle w:val="style0"/>
              <w:rPr>
                <w:color w:val="36363d"/>
              </w:rPr>
            </w:pPr>
            <w:r>
              <w:rPr>
                <w:rFonts w:ascii="Aptos" w:hAnsi="Aptos"/>
                <w:b w:val="false"/>
                <w:color w:val="36363d"/>
                <w:sz w:val="18"/>
              </w:rPr>
              <w:t>Interpretation depends on scattering conditions</w:t>
            </w:r>
          </w:p>
        </w:tc>
      </w:tr>
      <w:tr w14:paraId="06585ACE">
        <w:tblPrEx/>
        <w:trPr>
          <w:jc w:val="center"/>
        </w:trPr>
        <w:tc>
          <w:tcPr>
            <w:tcW w:w="3360" w:type="dxa"/>
            <w:tcBorders/>
            <w:vAlign w:val="center"/>
          </w:tcPr>
          <w:p w14:paraId="4A77748C">
            <w:pPr>
              <w:pStyle w:val="style0"/>
              <w:rPr>
                <w:color w:val="36363d"/>
              </w:rPr>
            </w:pPr>
            <w:r>
              <w:rPr>
                <w:rFonts w:ascii="Aptos" w:hAnsi="Aptos"/>
                <w:b w:val="false"/>
                <w:color w:val="36363d"/>
                <w:sz w:val="18"/>
              </w:rPr>
              <w:t>SAR coherence change</w:t>
            </w:r>
          </w:p>
        </w:tc>
        <w:tc>
          <w:tcPr>
            <w:tcW w:w="3360" w:type="dxa"/>
            <w:tcBorders/>
            <w:vAlign w:val="center"/>
          </w:tcPr>
          <w:p w14:paraId="07A452DD">
            <w:pPr>
              <w:pStyle w:val="style0"/>
              <w:rPr>
                <w:color w:val="36363d"/>
              </w:rPr>
            </w:pPr>
            <w:r>
              <w:rPr>
                <w:rFonts w:ascii="Aptos" w:hAnsi="Aptos"/>
                <w:b w:val="false"/>
                <w:color w:val="36363d"/>
                <w:sz w:val="18"/>
              </w:rPr>
              <w:t>Surface disturbance</w:t>
            </w:r>
          </w:p>
        </w:tc>
        <w:tc>
          <w:tcPr>
            <w:tcW w:w="3360" w:type="dxa"/>
            <w:tcBorders/>
            <w:vAlign w:val="center"/>
          </w:tcPr>
          <w:p w14:paraId="DD4F4265">
            <w:pPr>
              <w:pStyle w:val="style0"/>
              <w:rPr>
                <w:color w:val="36363d"/>
              </w:rPr>
            </w:pPr>
            <w:r>
              <w:rPr>
                <w:rFonts w:ascii="Aptos" w:hAnsi="Aptos"/>
                <w:b w:val="false"/>
                <w:color w:val="36363d"/>
                <w:sz w:val="18"/>
              </w:rPr>
              <w:t>Vegetation and temporal decorrelation</w:t>
            </w:r>
          </w:p>
        </w:tc>
      </w:tr>
      <w:tr w14:paraId="45AFD8CB">
        <w:tblPrEx/>
        <w:trPr>
          <w:jc w:val="center"/>
        </w:trPr>
        <w:tc>
          <w:tcPr>
            <w:tcW w:w="3360" w:type="dxa"/>
            <w:tcBorders/>
            <w:vAlign w:val="center"/>
          </w:tcPr>
          <w:p w14:paraId="4E73F2E0">
            <w:pPr>
              <w:pStyle w:val="style0"/>
              <w:rPr>
                <w:color w:val="36363d"/>
              </w:rPr>
            </w:pPr>
            <w:r>
              <w:rPr>
                <w:rFonts w:ascii="Aptos" w:hAnsi="Aptos"/>
                <w:b w:val="false"/>
                <w:color w:val="36363d"/>
                <w:sz w:val="18"/>
              </w:rPr>
              <w:t>Multi-date fusion</w:t>
            </w:r>
          </w:p>
        </w:tc>
        <w:tc>
          <w:tcPr>
            <w:tcW w:w="3360" w:type="dxa"/>
            <w:tcBorders/>
            <w:vAlign w:val="center"/>
          </w:tcPr>
          <w:p w14:paraId="71C43963">
            <w:pPr>
              <w:pStyle w:val="style0"/>
              <w:rPr>
                <w:color w:val="36363d"/>
              </w:rPr>
            </w:pPr>
            <w:r>
              <w:rPr>
                <w:rFonts w:ascii="Aptos" w:hAnsi="Aptos"/>
                <w:b w:val="false"/>
                <w:color w:val="36363d"/>
                <w:sz w:val="18"/>
              </w:rPr>
              <w:t>Consistent change across sensors</w:t>
            </w:r>
          </w:p>
        </w:tc>
        <w:tc>
          <w:tcPr>
            <w:tcW w:w="3360" w:type="dxa"/>
            <w:tcBorders/>
            <w:vAlign w:val="center"/>
          </w:tcPr>
          <w:p w14:paraId="7891B7AC">
            <w:pPr>
              <w:pStyle w:val="style0"/>
              <w:rPr>
                <w:color w:val="36363d"/>
              </w:rPr>
            </w:pPr>
            <w:r>
              <w:rPr>
                <w:rFonts w:ascii="Aptos" w:hAnsi="Aptos"/>
                <w:b w:val="false"/>
                <w:color w:val="36363d"/>
                <w:sz w:val="18"/>
              </w:rPr>
              <w:t>Requires careful temporal alignment</w:t>
            </w:r>
          </w:p>
        </w:tc>
      </w:tr>
    </w:tbl>
    <w:p w14:paraId="0E1EB594">
      <w:pPr>
        <w:pStyle w:val="style2"/>
        <w:rPr>
          <w:color w:val="36363d"/>
        </w:rPr>
      </w:pPr>
      <w:r>
        <w:rPr>
          <w:color w:val="36363d"/>
        </w:rPr>
        <w:t xml:space="preserve"> Multi-sensor confirmation</w:t>
      </w:r>
    </w:p>
    <w:p w14:paraId="77AB7EB4">
      <w:pPr>
        <w:pStyle w:val="style0"/>
        <w:rPr>
          <w:color w:val="36363d"/>
        </w:rPr>
      </w:pPr>
      <w:r>
        <w:rPr>
          <w:color w:val="36363d"/>
        </w:rPr>
        <w:t>A stronger detection strategy is to look for agreement between independent signals—for example, a Sentinel-2 vegetation/surface change together with Sentinel-1 radar change and elevated rainfall. Such agreement can reduce false alarms compared with a single-index approach.</w:t>
      </w:r>
    </w:p>
    <w:p w14:paraId="B0FCC6B5">
      <w:pPr>
        <w:pStyle w:val="style0"/>
        <w:rPr>
          <w:color w:val="36363d"/>
        </w:rPr>
      </w:pPr>
      <w:r>
        <w:rPr>
          <w:color w:val="36363d"/>
        </w:rPr>
        <w:br w:type="page"/>
      </w:r>
    </w:p>
    <w:p w14:paraId="66A3E041">
      <w:pPr>
        <w:pStyle w:val="style1"/>
        <w:rPr>
          <w:color w:val="36363d"/>
        </w:rPr>
      </w:pPr>
      <w:r>
        <w:rPr>
          <w:color w:val="36363d"/>
        </w:rPr>
        <w:t>SAR, InSAR and Pre-Landslide Deformation</w:t>
      </w:r>
    </w:p>
    <w:p w14:paraId="AE987C2F">
      <w:pPr>
        <w:pStyle w:val="style2"/>
        <w:rPr>
          <w:color w:val="36363d"/>
        </w:rPr>
      </w:pPr>
      <w:r>
        <w:rPr>
          <w:color w:val="36363d"/>
        </w:rPr>
        <w:t xml:space="preserve"> InSAR concept</w:t>
      </w:r>
    </w:p>
    <w:p w14:paraId="9E4AC5B0">
      <w:pPr>
        <w:pStyle w:val="style0"/>
        <w:rPr>
          <w:color w:val="36363d"/>
        </w:rPr>
      </w:pPr>
      <w:r>
        <w:rPr>
          <w:color w:val="36363d"/>
        </w:rPr>
        <w:t>Interferometric Synthetic Aperture Radar compares the phase information from repeated SAR acquisitions. Changes in phase can be converted, under suitable conditions and processing assumptions, into estimates of surface displacement along the radar line of sight.</w:t>
      </w:r>
    </w:p>
    <w:p w14:paraId="CC765737">
      <w:pPr>
        <w:pStyle w:val="style0"/>
        <w:ind w:left="288" w:right="288"/>
        <w:rPr>
          <w:color w:val="36363d"/>
        </w:rPr>
      </w:pPr>
      <w:r>
        <w:rPr>
          <w:rFonts w:ascii="Consolas" w:hAnsi="Consolas"/>
          <w:color w:val="36363d"/>
          <w:sz w:val="17"/>
        </w:rPr>
        <w:t>Sentinel-1 acquisition T1 ─┐</w:t>
      </w:r>
      <w:r>
        <w:rPr>
          <w:rFonts w:ascii="Consolas" w:hAnsi="Consolas"/>
          <w:color w:val="36363d"/>
          <w:sz w:val="17"/>
        </w:rPr>
        <w:br/>
      </w:r>
      <w:r>
        <w:rPr>
          <w:rFonts w:ascii="Consolas" w:hAnsi="Consolas"/>
          <w:color w:val="36363d"/>
          <w:sz w:val="17"/>
        </w:rPr>
        <w:t xml:space="preserve">                           ├→ co-registration → interferogram → filtering →</w:t>
      </w:r>
      <w:r>
        <w:rPr>
          <w:rFonts w:ascii="Consolas" w:hAnsi="Consolas"/>
          <w:color w:val="36363d"/>
          <w:sz w:val="17"/>
        </w:rPr>
        <w:br/>
      </w:r>
      <w:r>
        <w:rPr>
          <w:rFonts w:ascii="Consolas" w:hAnsi="Consolas"/>
          <w:color w:val="36363d"/>
          <w:sz w:val="17"/>
        </w:rPr>
        <w:t>Sentinel-1 acquisition T2 ─┘       phase processing → unwrapping → displacement</w:t>
      </w:r>
      <w:r>
        <w:rPr>
          <w:rFonts w:ascii="Consolas" w:hAnsi="Consolas"/>
          <w:color w:val="36363d"/>
          <w:sz w:val="17"/>
        </w:rPr>
        <w:br/>
      </w:r>
    </w:p>
    <w:p w14:paraId="5C69BACD">
      <w:pPr>
        <w:pStyle w:val="style2"/>
        <w:rPr>
          <w:color w:val="36363d"/>
        </w:rPr>
      </w:pPr>
      <w:r>
        <w:rPr>
          <w:color w:val="36363d"/>
        </w:rPr>
        <w:t xml:space="preserve"> What deformation monitoring can identify</w:t>
      </w:r>
    </w:p>
    <w:p w14:paraId="9D467B81">
      <w:pPr>
        <w:pStyle w:val="style48"/>
        <w:spacing w:after="40"/>
        <w:rPr>
          <w:color w:val="36363d"/>
        </w:rPr>
      </w:pPr>
      <w:r>
        <w:rPr>
          <w:color w:val="36363d"/>
        </w:rPr>
        <w:t>Slow-moving slope deformation.</w:t>
      </w:r>
    </w:p>
    <w:p w14:paraId="E0216467">
      <w:pPr>
        <w:pStyle w:val="style48"/>
        <w:spacing w:after="40"/>
        <w:rPr>
          <w:color w:val="36363d"/>
        </w:rPr>
      </w:pPr>
      <w:r>
        <w:rPr>
          <w:color w:val="36363d"/>
        </w:rPr>
        <w:t>Progressive movement over repeated observations.</w:t>
      </w:r>
    </w:p>
    <w:p w14:paraId="42F83632">
      <w:pPr>
        <w:pStyle w:val="style48"/>
        <w:spacing w:after="40"/>
        <w:rPr>
          <w:color w:val="36363d"/>
        </w:rPr>
      </w:pPr>
      <w:r>
        <w:rPr>
          <w:color w:val="36363d"/>
        </w:rPr>
        <w:t>Subsidence or uplift.</w:t>
      </w:r>
    </w:p>
    <w:p w14:paraId="555CFA0B">
      <w:pPr>
        <w:pStyle w:val="style48"/>
        <w:spacing w:after="40"/>
        <w:rPr>
          <w:color w:val="36363d"/>
        </w:rPr>
      </w:pPr>
      <w:r>
        <w:rPr>
          <w:color w:val="36363d"/>
        </w:rPr>
        <w:t>Movement of infrastructure or exposed terrain.</w:t>
      </w:r>
    </w:p>
    <w:p w14:paraId="E4966506">
      <w:pPr>
        <w:pStyle w:val="style48"/>
        <w:spacing w:after="40"/>
        <w:rPr>
          <w:color w:val="36363d"/>
        </w:rPr>
      </w:pPr>
      <w:r>
        <w:rPr>
          <w:color w:val="36363d"/>
        </w:rPr>
        <w:t>Persistent deformation zones that deserve field inspection.</w:t>
      </w:r>
    </w:p>
    <w:p w14:paraId="07B0C9A4">
      <w:pPr>
        <w:pStyle w:val="style2"/>
        <w:rPr>
          <w:color w:val="36363d"/>
        </w:rPr>
      </w:pPr>
      <w:r>
        <w:rPr>
          <w:color w:val="36363d"/>
        </w:rPr>
        <w:t xml:space="preserve"> PSI and SBAS</w:t>
      </w:r>
    </w:p>
    <w:tbl>
      <w:tblPr>
        <w:tblStyle w:val="style154"/>
        <w:tblW w:w="0" w:type="auto"/>
        <w:jc w:val="center"/>
        <w:tblLook w:val="04A0" w:firstRow="1" w:lastRow="0" w:firstColumn="1" w:lastColumn="0" w:noHBand="0" w:noVBand="1"/>
      </w:tblPr>
      <w:tblGrid>
        <w:gridCol w:w="3360"/>
        <w:gridCol w:w="3360"/>
        <w:gridCol w:w="3360"/>
      </w:tblGrid>
      <w:tr w14:paraId="587494C3">
        <w:trPr>
          <w:jc w:val="center"/>
        </w:trPr>
        <w:tc>
          <w:tcPr>
            <w:tcW w:w="3360" w:type="dxa"/>
            <w:tcBorders/>
            <w:shd w:val="nil" w:color="auto" w:fill="d9eaf7"/>
            <w:vAlign w:val="center"/>
          </w:tcPr>
          <w:p w14:paraId="A05E5A40">
            <w:pPr>
              <w:pStyle w:val="style0"/>
              <w:rPr>
                <w:color w:val="36363d"/>
              </w:rPr>
            </w:pPr>
            <w:r>
              <w:rPr>
                <w:rFonts w:ascii="Aptos" w:hAnsi="Aptos"/>
                <w:b/>
                <w:color w:val="36363d"/>
                <w:sz w:val="18"/>
              </w:rPr>
              <w:t>Approach</w:t>
            </w:r>
          </w:p>
        </w:tc>
        <w:tc>
          <w:tcPr>
            <w:tcW w:w="3360" w:type="dxa"/>
            <w:tcBorders/>
            <w:shd w:val="nil" w:color="auto" w:fill="d9eaf7"/>
            <w:vAlign w:val="center"/>
          </w:tcPr>
          <w:p w14:paraId="C775D4F9">
            <w:pPr>
              <w:pStyle w:val="style0"/>
              <w:rPr>
                <w:color w:val="36363d"/>
              </w:rPr>
            </w:pPr>
            <w:r>
              <w:rPr>
                <w:rFonts w:ascii="Aptos" w:hAnsi="Aptos"/>
                <w:b/>
                <w:color w:val="36363d"/>
                <w:sz w:val="18"/>
              </w:rPr>
              <w:t>Concept</w:t>
            </w:r>
          </w:p>
        </w:tc>
        <w:tc>
          <w:tcPr>
            <w:tcW w:w="3360" w:type="dxa"/>
            <w:tcBorders/>
            <w:shd w:val="nil" w:color="auto" w:fill="d9eaf7"/>
            <w:vAlign w:val="center"/>
          </w:tcPr>
          <w:p w14:paraId="41082500">
            <w:pPr>
              <w:pStyle w:val="style0"/>
              <w:rPr>
                <w:color w:val="36363d"/>
              </w:rPr>
            </w:pPr>
            <w:r>
              <w:rPr>
                <w:rFonts w:ascii="Aptos" w:hAnsi="Aptos"/>
                <w:b/>
                <w:color w:val="36363d"/>
                <w:sz w:val="18"/>
              </w:rPr>
              <w:t>Best suited for</w:t>
            </w:r>
          </w:p>
        </w:tc>
      </w:tr>
      <w:tr w14:paraId="B2D4EE65">
        <w:tblPrEx/>
        <w:trPr>
          <w:jc w:val="center"/>
        </w:trPr>
        <w:tc>
          <w:tcPr>
            <w:tcW w:w="3360" w:type="dxa"/>
            <w:tcBorders/>
            <w:vAlign w:val="center"/>
          </w:tcPr>
          <w:p w14:paraId="87A05E06">
            <w:pPr>
              <w:pStyle w:val="style0"/>
              <w:rPr>
                <w:color w:val="36363d"/>
              </w:rPr>
            </w:pPr>
            <w:r>
              <w:rPr>
                <w:rFonts w:ascii="Aptos" w:hAnsi="Aptos"/>
                <w:b w:val="false"/>
                <w:color w:val="36363d"/>
                <w:sz w:val="18"/>
              </w:rPr>
              <w:t>PSI</w:t>
            </w:r>
          </w:p>
        </w:tc>
        <w:tc>
          <w:tcPr>
            <w:tcW w:w="3360" w:type="dxa"/>
            <w:tcBorders/>
            <w:vAlign w:val="center"/>
          </w:tcPr>
          <w:p w14:paraId="4AFA30DE">
            <w:pPr>
              <w:pStyle w:val="style0"/>
              <w:rPr>
                <w:color w:val="36363d"/>
              </w:rPr>
            </w:pPr>
            <w:r>
              <w:rPr>
                <w:rFonts w:ascii="Aptos" w:hAnsi="Aptos"/>
                <w:b w:val="false"/>
                <w:color w:val="36363d"/>
                <w:sz w:val="18"/>
              </w:rPr>
              <w:t>Tracks stable radar scatterers through time</w:t>
            </w:r>
          </w:p>
        </w:tc>
        <w:tc>
          <w:tcPr>
            <w:tcW w:w="3360" w:type="dxa"/>
            <w:tcBorders/>
            <w:vAlign w:val="center"/>
          </w:tcPr>
          <w:p w14:paraId="B643BB00">
            <w:pPr>
              <w:pStyle w:val="style0"/>
              <w:rPr>
                <w:color w:val="36363d"/>
              </w:rPr>
            </w:pPr>
            <w:r>
              <w:rPr>
                <w:rFonts w:ascii="Aptos" w:hAnsi="Aptos"/>
                <w:b w:val="false"/>
                <w:color w:val="36363d"/>
                <w:sz w:val="18"/>
              </w:rPr>
              <w:t>Buildings, infrastructure and persistent reflective targets</w:t>
            </w:r>
          </w:p>
        </w:tc>
      </w:tr>
      <w:tr w14:paraId="1C1A60A8">
        <w:tblPrEx/>
        <w:trPr>
          <w:jc w:val="center"/>
        </w:trPr>
        <w:tc>
          <w:tcPr>
            <w:tcW w:w="3360" w:type="dxa"/>
            <w:tcBorders/>
            <w:vAlign w:val="center"/>
          </w:tcPr>
          <w:p w14:paraId="5C248187">
            <w:pPr>
              <w:pStyle w:val="style0"/>
              <w:rPr>
                <w:color w:val="36363d"/>
              </w:rPr>
            </w:pPr>
            <w:r>
              <w:rPr>
                <w:rFonts w:ascii="Aptos" w:hAnsi="Aptos"/>
                <w:b w:val="false"/>
                <w:color w:val="36363d"/>
                <w:sz w:val="18"/>
              </w:rPr>
              <w:t>SBAS</w:t>
            </w:r>
          </w:p>
        </w:tc>
        <w:tc>
          <w:tcPr>
            <w:tcW w:w="3360" w:type="dxa"/>
            <w:tcBorders/>
            <w:vAlign w:val="center"/>
          </w:tcPr>
          <w:p w14:paraId="854399D7">
            <w:pPr>
              <w:pStyle w:val="style0"/>
              <w:rPr>
                <w:color w:val="36363d"/>
              </w:rPr>
            </w:pPr>
            <w:r>
              <w:rPr>
                <w:rFonts w:ascii="Aptos" w:hAnsi="Aptos"/>
                <w:b w:val="false"/>
                <w:color w:val="36363d"/>
                <w:sz w:val="18"/>
              </w:rPr>
              <w:t>Uses suitable small-baseline interferometric pairs</w:t>
            </w:r>
          </w:p>
        </w:tc>
        <w:tc>
          <w:tcPr>
            <w:tcW w:w="3360" w:type="dxa"/>
            <w:tcBorders/>
            <w:vAlign w:val="center"/>
          </w:tcPr>
          <w:p w14:paraId="06EE3E8D">
            <w:pPr>
              <w:pStyle w:val="style0"/>
              <w:rPr>
                <w:color w:val="36363d"/>
              </w:rPr>
            </w:pPr>
            <w:r>
              <w:rPr>
                <w:rFonts w:ascii="Aptos" w:hAnsi="Aptos"/>
                <w:b w:val="false"/>
                <w:color w:val="36363d"/>
                <w:sz w:val="18"/>
              </w:rPr>
              <w:t>Distributed deformation and broader time-series analysis</w:t>
            </w:r>
          </w:p>
        </w:tc>
      </w:tr>
    </w:tbl>
    <w:p w14:paraId="B17C195D">
      <w:pPr>
        <w:pStyle w:val="style2"/>
        <w:rPr>
          <w:color w:val="36363d"/>
        </w:rPr>
      </w:pPr>
      <w:r>
        <w:rPr>
          <w:color w:val="36363d"/>
        </w:rPr>
        <w:t xml:space="preserve"> Critical limitations</w:t>
      </w:r>
    </w:p>
    <w:p w14:paraId="20A52885">
      <w:pPr>
        <w:pStyle w:val="style48"/>
        <w:spacing w:after="40"/>
        <w:rPr>
          <w:color w:val="36363d"/>
        </w:rPr>
      </w:pPr>
      <w:r>
        <w:rPr>
          <w:color w:val="36363d"/>
        </w:rPr>
        <w:t>InSAR measures displacement relative to the radar line of sight, not a complete 3D displacement vector.</w:t>
      </w:r>
    </w:p>
    <w:p w14:paraId="8EDBABE0">
      <w:pPr>
        <w:pStyle w:val="style48"/>
        <w:spacing w:after="40"/>
        <w:rPr>
          <w:color w:val="36363d"/>
        </w:rPr>
      </w:pPr>
      <w:r>
        <w:rPr>
          <w:color w:val="36363d"/>
        </w:rPr>
        <w:t>Dense vegetation can reduce radar coherence and make deformation retrieval difficult.</w:t>
      </w:r>
    </w:p>
    <w:p w14:paraId="3B19B4DC">
      <w:pPr>
        <w:pStyle w:val="style48"/>
        <w:spacing w:after="40"/>
        <w:rPr>
          <w:color w:val="36363d"/>
        </w:rPr>
      </w:pPr>
      <w:r>
        <w:rPr>
          <w:color w:val="36363d"/>
        </w:rPr>
        <w:t>Very rapid movement may cause decorrelation.</w:t>
      </w:r>
    </w:p>
    <w:p w14:paraId="2A95401B">
      <w:pPr>
        <w:pStyle w:val="style48"/>
        <w:spacing w:after="40"/>
        <w:rPr>
          <w:color w:val="36363d"/>
        </w:rPr>
      </w:pPr>
      <w:r>
        <w:rPr>
          <w:color w:val="36363d"/>
        </w:rPr>
        <w:t>Atmospheric effects can contaminate phase measurements.</w:t>
      </w:r>
    </w:p>
    <w:p w14:paraId="3F55FCBB">
      <w:pPr>
        <w:pStyle w:val="style48"/>
        <w:spacing w:after="40"/>
        <w:rPr>
          <w:color w:val="36363d"/>
        </w:rPr>
      </w:pPr>
      <w:r>
        <w:rPr>
          <w:color w:val="36363d"/>
        </w:rPr>
        <w:t>Steep terrain can create geometric distortions such as layover and shadow.</w:t>
      </w:r>
    </w:p>
    <w:p w14:paraId="5EF49A47">
      <w:pPr>
        <w:pStyle w:val="style48"/>
        <w:spacing w:after="40"/>
        <w:rPr>
          <w:color w:val="36363d"/>
        </w:rPr>
      </w:pPr>
      <w:r>
        <w:rPr>
          <w:color w:val="36363d"/>
        </w:rPr>
        <w:t>A detected deformation signal is an indicator for investigation, not automatic proof that a catastrophic landslide will occur.</w:t>
      </w:r>
    </w:p>
    <w:p w14:paraId="66F03BA9">
      <w:pPr>
        <w:pStyle w:val="style2"/>
        <w:rPr>
          <w:color w:val="36363d"/>
        </w:rPr>
      </w:pPr>
      <w:r>
        <w:rPr>
          <w:color w:val="36363d"/>
        </w:rPr>
        <w:t>Recommended interpretation</w:t>
      </w:r>
    </w:p>
    <w:p w14:paraId="A944EB7E">
      <w:pPr>
        <w:pStyle w:val="style0"/>
        <w:rPr>
          <w:color w:val="36363d"/>
        </w:rPr>
      </w:pPr>
      <w:r>
        <w:rPr>
          <w:color w:val="36363d"/>
        </w:rPr>
        <w:t>The system should classify persistent deformation as a monitoring signal and combine it with susceptibility, rainfall, wetness and field information. This makes the output a risk-prioritisation tool rather than an overconfident deterministic forecast.</w:t>
      </w:r>
    </w:p>
    <w:p w14:paraId="18301249">
      <w:pPr>
        <w:pStyle w:val="style0"/>
        <w:rPr>
          <w:color w:val="36363d"/>
        </w:rPr>
      </w:pPr>
      <w:r>
        <w:rPr>
          <w:color w:val="36363d"/>
        </w:rPr>
        <w:br w:type="page"/>
      </w:r>
    </w:p>
    <w:p w14:paraId="5BAF97EA">
      <w:pPr>
        <w:pStyle w:val="style1"/>
        <w:rPr>
          <w:color w:val="36363d"/>
        </w:rPr>
      </w:pPr>
      <w:r>
        <w:rPr>
          <w:color w:val="36363d"/>
        </w:rPr>
        <w:t xml:space="preserve"> Rainfall, GPM/IMERG and Dynamic Hazard</w:t>
      </w:r>
    </w:p>
    <w:p w14:paraId="32B8BFAA">
      <w:pPr>
        <w:pStyle w:val="style2"/>
        <w:rPr>
          <w:color w:val="36363d"/>
        </w:rPr>
      </w:pPr>
      <w:r>
        <w:rPr>
          <w:color w:val="36363d"/>
        </w:rPr>
        <w:t xml:space="preserve"> Rainfall as a major trigger</w:t>
      </w:r>
    </w:p>
    <w:p w14:paraId="D18C8C1D">
      <w:pPr>
        <w:pStyle w:val="style0"/>
        <w:rPr>
          <w:color w:val="36363d"/>
        </w:rPr>
      </w:pPr>
      <w:r>
        <w:rPr>
          <w:color w:val="36363d"/>
        </w:rPr>
        <w:t>Rainfall can trigger landslides by increasing infiltration, saturation and pore-water pressure, while also causing erosion and changes in drainage. For this reason, a landslide system should analyse rainfall over multiple temporal windows instead of using only the current hour.</w:t>
      </w:r>
    </w:p>
    <w:p w14:paraId="7F71C637">
      <w:pPr>
        <w:pStyle w:val="style2"/>
        <w:rPr>
          <w:color w:val="36363d"/>
        </w:rPr>
      </w:pPr>
      <w:r>
        <w:rPr>
          <w:color w:val="36363d"/>
        </w:rPr>
        <w:t xml:space="preserve"> Recommended rainfall features</w:t>
      </w:r>
    </w:p>
    <w:tbl>
      <w:tblPr>
        <w:tblStyle w:val="style154"/>
        <w:tblW w:w="0" w:type="auto"/>
        <w:jc w:val="center"/>
        <w:tblLook w:val="04A0" w:firstRow="1" w:lastRow="0" w:firstColumn="1" w:lastColumn="0" w:noHBand="0" w:noVBand="1"/>
      </w:tblPr>
      <w:tblGrid>
        <w:gridCol w:w="5040"/>
        <w:gridCol w:w="5040"/>
      </w:tblGrid>
      <w:tr w14:paraId="E006E15B">
        <w:trPr>
          <w:jc w:val="center"/>
        </w:trPr>
        <w:tc>
          <w:tcPr>
            <w:tcW w:w="5040" w:type="dxa"/>
            <w:tcBorders/>
            <w:shd w:val="nil" w:color="auto" w:fill="d9eaf7"/>
            <w:vAlign w:val="center"/>
          </w:tcPr>
          <w:p w14:paraId="5540DF05">
            <w:pPr>
              <w:pStyle w:val="style0"/>
              <w:rPr>
                <w:color w:val="36363d"/>
              </w:rPr>
            </w:pPr>
            <w:r>
              <w:rPr>
                <w:rFonts w:ascii="Aptos" w:hAnsi="Aptos"/>
                <w:b/>
                <w:color w:val="36363d"/>
                <w:sz w:val="18"/>
              </w:rPr>
              <w:t>Feature</w:t>
            </w:r>
          </w:p>
        </w:tc>
        <w:tc>
          <w:tcPr>
            <w:tcW w:w="5040" w:type="dxa"/>
            <w:tcBorders/>
            <w:shd w:val="nil" w:color="auto" w:fill="d9eaf7"/>
            <w:vAlign w:val="center"/>
          </w:tcPr>
          <w:p w14:paraId="26DA869C">
            <w:pPr>
              <w:pStyle w:val="style0"/>
              <w:rPr>
                <w:color w:val="36363d"/>
              </w:rPr>
            </w:pPr>
            <w:r>
              <w:rPr>
                <w:rFonts w:ascii="Aptos" w:hAnsi="Aptos"/>
                <w:b/>
                <w:color w:val="36363d"/>
                <w:sz w:val="18"/>
              </w:rPr>
              <w:t>Purpose</w:t>
            </w:r>
          </w:p>
        </w:tc>
      </w:tr>
      <w:tr w14:paraId="9F386879">
        <w:tblPrEx/>
        <w:trPr>
          <w:jc w:val="center"/>
        </w:trPr>
        <w:tc>
          <w:tcPr>
            <w:tcW w:w="5040" w:type="dxa"/>
            <w:tcBorders/>
            <w:vAlign w:val="center"/>
          </w:tcPr>
          <w:p w14:paraId="64B1267C">
            <w:pPr>
              <w:pStyle w:val="style0"/>
              <w:rPr>
                <w:color w:val="36363d"/>
              </w:rPr>
            </w:pPr>
            <w:r>
              <w:rPr>
                <w:rFonts w:ascii="Aptos" w:hAnsi="Aptos"/>
                <w:b w:val="false"/>
                <w:color w:val="36363d"/>
                <w:sz w:val="18"/>
              </w:rPr>
              <w:t>1-hour rainfall</w:t>
            </w:r>
          </w:p>
        </w:tc>
        <w:tc>
          <w:tcPr>
            <w:tcW w:w="5040" w:type="dxa"/>
            <w:tcBorders/>
            <w:vAlign w:val="center"/>
          </w:tcPr>
          <w:p w14:paraId="020A9701">
            <w:pPr>
              <w:pStyle w:val="style0"/>
              <w:rPr>
                <w:color w:val="36363d"/>
              </w:rPr>
            </w:pPr>
            <w:r>
              <w:rPr>
                <w:rFonts w:ascii="Aptos" w:hAnsi="Aptos"/>
                <w:b w:val="false"/>
                <w:color w:val="36363d"/>
                <w:sz w:val="18"/>
              </w:rPr>
              <w:t>Very short-duration intensity</w:t>
            </w:r>
          </w:p>
        </w:tc>
      </w:tr>
      <w:tr w14:paraId="551985E1">
        <w:tblPrEx/>
        <w:trPr>
          <w:jc w:val="center"/>
        </w:trPr>
        <w:tc>
          <w:tcPr>
            <w:tcW w:w="5040" w:type="dxa"/>
            <w:tcBorders/>
            <w:vAlign w:val="center"/>
          </w:tcPr>
          <w:p w14:paraId="F9C62960">
            <w:pPr>
              <w:pStyle w:val="style0"/>
              <w:rPr>
                <w:color w:val="36363d"/>
              </w:rPr>
            </w:pPr>
            <w:r>
              <w:rPr>
                <w:rFonts w:ascii="Aptos" w:hAnsi="Aptos"/>
                <w:b w:val="false"/>
                <w:color w:val="36363d"/>
                <w:sz w:val="18"/>
              </w:rPr>
              <w:t>6-hour rainfall</w:t>
            </w:r>
          </w:p>
        </w:tc>
        <w:tc>
          <w:tcPr>
            <w:tcW w:w="5040" w:type="dxa"/>
            <w:tcBorders/>
            <w:vAlign w:val="center"/>
          </w:tcPr>
          <w:p w14:paraId="CB86B23F">
            <w:pPr>
              <w:pStyle w:val="style0"/>
              <w:rPr>
                <w:color w:val="36363d"/>
              </w:rPr>
            </w:pPr>
            <w:r>
              <w:rPr>
                <w:rFonts w:ascii="Aptos" w:hAnsi="Aptos"/>
                <w:b w:val="false"/>
                <w:color w:val="36363d"/>
                <w:sz w:val="18"/>
              </w:rPr>
              <w:t>Short-term accumulation</w:t>
            </w:r>
          </w:p>
        </w:tc>
      </w:tr>
      <w:tr w14:paraId="9F4D9D32">
        <w:tblPrEx/>
        <w:trPr>
          <w:jc w:val="center"/>
        </w:trPr>
        <w:tc>
          <w:tcPr>
            <w:tcW w:w="5040" w:type="dxa"/>
            <w:tcBorders/>
            <w:vAlign w:val="center"/>
          </w:tcPr>
          <w:p w14:paraId="B55D92CA">
            <w:pPr>
              <w:pStyle w:val="style0"/>
              <w:rPr>
                <w:color w:val="36363d"/>
              </w:rPr>
            </w:pPr>
            <w:r>
              <w:rPr>
                <w:rFonts w:ascii="Aptos" w:hAnsi="Aptos"/>
                <w:b w:val="false"/>
                <w:color w:val="36363d"/>
                <w:sz w:val="18"/>
              </w:rPr>
              <w:t>24-hour rainfall</w:t>
            </w:r>
          </w:p>
        </w:tc>
        <w:tc>
          <w:tcPr>
            <w:tcW w:w="5040" w:type="dxa"/>
            <w:tcBorders/>
            <w:vAlign w:val="center"/>
          </w:tcPr>
          <w:p w14:paraId="846F9D45">
            <w:pPr>
              <w:pStyle w:val="style0"/>
              <w:rPr>
                <w:color w:val="36363d"/>
              </w:rPr>
            </w:pPr>
            <w:r>
              <w:rPr>
                <w:rFonts w:ascii="Aptos" w:hAnsi="Aptos"/>
                <w:b w:val="false"/>
                <w:color w:val="36363d"/>
                <w:sz w:val="18"/>
              </w:rPr>
              <w:t>Daily triggering load</w:t>
            </w:r>
          </w:p>
        </w:tc>
      </w:tr>
      <w:tr w14:paraId="52F7CA9C">
        <w:tblPrEx/>
        <w:trPr>
          <w:jc w:val="center"/>
        </w:trPr>
        <w:tc>
          <w:tcPr>
            <w:tcW w:w="5040" w:type="dxa"/>
            <w:tcBorders/>
            <w:vAlign w:val="center"/>
          </w:tcPr>
          <w:p w14:paraId="087D83D6">
            <w:pPr>
              <w:pStyle w:val="style0"/>
              <w:rPr>
                <w:color w:val="36363d"/>
              </w:rPr>
            </w:pPr>
            <w:r>
              <w:rPr>
                <w:rFonts w:ascii="Aptos" w:hAnsi="Aptos"/>
                <w:b w:val="false"/>
                <w:color w:val="36363d"/>
                <w:sz w:val="18"/>
              </w:rPr>
              <w:t>3-day rainfall</w:t>
            </w:r>
          </w:p>
        </w:tc>
        <w:tc>
          <w:tcPr>
            <w:tcW w:w="5040" w:type="dxa"/>
            <w:tcBorders/>
            <w:vAlign w:val="center"/>
          </w:tcPr>
          <w:p w14:paraId="82D6779E">
            <w:pPr>
              <w:pStyle w:val="style0"/>
              <w:rPr>
                <w:color w:val="36363d"/>
              </w:rPr>
            </w:pPr>
            <w:r>
              <w:rPr>
                <w:rFonts w:ascii="Aptos" w:hAnsi="Aptos"/>
                <w:b w:val="false"/>
                <w:color w:val="36363d"/>
                <w:sz w:val="18"/>
              </w:rPr>
              <w:t>Recent antecedent wetness</w:t>
            </w:r>
          </w:p>
        </w:tc>
      </w:tr>
      <w:tr w14:paraId="E4407627">
        <w:tblPrEx/>
        <w:trPr>
          <w:jc w:val="center"/>
        </w:trPr>
        <w:tc>
          <w:tcPr>
            <w:tcW w:w="5040" w:type="dxa"/>
            <w:tcBorders/>
            <w:vAlign w:val="center"/>
          </w:tcPr>
          <w:p w14:paraId="3425DC34">
            <w:pPr>
              <w:pStyle w:val="style0"/>
              <w:rPr>
                <w:color w:val="36363d"/>
              </w:rPr>
            </w:pPr>
            <w:r>
              <w:rPr>
                <w:rFonts w:ascii="Aptos" w:hAnsi="Aptos"/>
                <w:b w:val="false"/>
                <w:color w:val="36363d"/>
                <w:sz w:val="18"/>
              </w:rPr>
              <w:t>7-day rainfall</w:t>
            </w:r>
          </w:p>
        </w:tc>
        <w:tc>
          <w:tcPr>
            <w:tcW w:w="5040" w:type="dxa"/>
            <w:tcBorders/>
            <w:vAlign w:val="center"/>
          </w:tcPr>
          <w:p w14:paraId="48EA8C52">
            <w:pPr>
              <w:pStyle w:val="style0"/>
              <w:rPr>
                <w:color w:val="36363d"/>
              </w:rPr>
            </w:pPr>
            <w:r>
              <w:rPr>
                <w:rFonts w:ascii="Aptos" w:hAnsi="Aptos"/>
                <w:b w:val="false"/>
                <w:color w:val="36363d"/>
                <w:sz w:val="18"/>
              </w:rPr>
              <w:t>Multi-day accumulation</w:t>
            </w:r>
          </w:p>
        </w:tc>
      </w:tr>
      <w:tr w14:paraId="BC370F98">
        <w:tblPrEx/>
        <w:trPr>
          <w:jc w:val="center"/>
        </w:trPr>
        <w:tc>
          <w:tcPr>
            <w:tcW w:w="5040" w:type="dxa"/>
            <w:tcBorders/>
            <w:vAlign w:val="center"/>
          </w:tcPr>
          <w:p w14:paraId="96177307">
            <w:pPr>
              <w:pStyle w:val="style0"/>
              <w:rPr>
                <w:color w:val="36363d"/>
              </w:rPr>
            </w:pPr>
            <w:r>
              <w:rPr>
                <w:rFonts w:ascii="Aptos" w:hAnsi="Aptos"/>
                <w:b w:val="false"/>
                <w:color w:val="36363d"/>
                <w:sz w:val="18"/>
              </w:rPr>
              <w:t>30-day rainfall</w:t>
            </w:r>
          </w:p>
        </w:tc>
        <w:tc>
          <w:tcPr>
            <w:tcW w:w="5040" w:type="dxa"/>
            <w:tcBorders/>
            <w:vAlign w:val="center"/>
          </w:tcPr>
          <w:p w14:paraId="B99DBDCF">
            <w:pPr>
              <w:pStyle w:val="style0"/>
              <w:rPr>
                <w:color w:val="36363d"/>
              </w:rPr>
            </w:pPr>
            <w:r>
              <w:rPr>
                <w:rFonts w:ascii="Aptos" w:hAnsi="Aptos"/>
                <w:b w:val="false"/>
                <w:color w:val="36363d"/>
                <w:sz w:val="18"/>
              </w:rPr>
              <w:t>Longer-term wetness context</w:t>
            </w:r>
          </w:p>
        </w:tc>
      </w:tr>
    </w:tbl>
    <w:p w14:paraId="A9D3716B">
      <w:pPr>
        <w:pStyle w:val="style2"/>
        <w:rPr>
          <w:color w:val="36363d"/>
        </w:rPr>
      </w:pPr>
      <w:r>
        <w:rPr>
          <w:color w:val="36363d"/>
        </w:rPr>
        <w:t xml:space="preserve"> Antecedent Rainfall Index</w:t>
      </w:r>
    </w:p>
    <w:p w14:paraId="51D1963C">
      <w:pPr>
        <w:pStyle w:val="style0"/>
        <w:rPr>
          <w:color w:val="36363d"/>
        </w:rPr>
      </w:pPr>
      <w:r>
        <w:rPr>
          <w:color w:val="36363d"/>
        </w:rPr>
        <w:t>An exponentially weighted rainfall index can represent the fact that older rainfall may still influence ground wetness, but usually with decreasing importance:</w:t>
      </w:r>
    </w:p>
    <w:p w14:paraId="AD628D05">
      <w:pPr>
        <w:pStyle w:val="style0"/>
        <w:jc w:val="center"/>
        <w:rPr>
          <w:color w:val="36363d"/>
        </w:rPr>
      </w:pPr>
      <w:r>
        <w:rPr>
          <w:b/>
          <w:color w:val="36363d"/>
        </w:rPr>
        <w:t>ARIₜ = Pₜ + kPₜ₋₁ + k²Pₜ₋₂ + … + kⁿPₜ₋ₙ</w:t>
      </w:r>
    </w:p>
    <w:p w14:paraId="1F1E6598">
      <w:pPr>
        <w:pStyle w:val="style0"/>
        <w:rPr>
          <w:color w:val="36363d"/>
        </w:rPr>
      </w:pPr>
      <w:r>
        <w:rPr>
          <w:color w:val="36363d"/>
        </w:rPr>
        <w:t>Here P represents rainfall and k is a decay factor between zero and one. The decay factor should be calibrated using historical events rather than selected arbitrarily.</w:t>
      </w:r>
    </w:p>
    <w:p w14:paraId="AA8E329B">
      <w:pPr>
        <w:pStyle w:val="style2"/>
        <w:rPr>
          <w:color w:val="36363d"/>
        </w:rPr>
      </w:pPr>
      <w:r>
        <w:rPr>
          <w:color w:val="36363d"/>
        </w:rPr>
        <w:t xml:space="preserve"> GPM / IMERG</w:t>
      </w:r>
    </w:p>
    <w:p w14:paraId="0EACE459">
      <w:pPr>
        <w:pStyle w:val="style0"/>
        <w:rPr>
          <w:color w:val="36363d"/>
        </w:rPr>
      </w:pPr>
      <w:r>
        <w:rPr>
          <w:color w:val="36363d"/>
        </w:rPr>
        <w:t>NASA's Global Precipitation Measurement mission provides precipitation observations, while IMERG combines information from multiple satellite sources into precipitation estimates. Such products are useful for regional monitoring, particularly where ground rain-gauge coverage is sparse.</w:t>
      </w:r>
    </w:p>
    <w:p w14:paraId="F8AC085C">
      <w:pPr>
        <w:pStyle w:val="style2"/>
        <w:rPr>
          <w:color w:val="36363d"/>
        </w:rPr>
      </w:pPr>
      <w:r>
        <w:rPr>
          <w:color w:val="36363d"/>
        </w:rPr>
        <w:t xml:space="preserve"> Rainfall + soil moisture + susceptibility</w:t>
      </w:r>
    </w:p>
    <w:p w14:paraId="11F7E7EC">
      <w:pPr>
        <w:pStyle w:val="style0"/>
        <w:ind w:left="288" w:right="288"/>
        <w:rPr>
          <w:color w:val="36363d"/>
        </w:rPr>
      </w:pPr>
      <w:r>
        <w:rPr>
          <w:rFonts w:ascii="Consolas" w:hAnsi="Consolas"/>
          <w:color w:val="36363d"/>
          <w:sz w:val="17"/>
        </w:rPr>
        <w:t>Static susceptibility</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Recent rainfall / antecedent rainfall</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Current wetness / soil moisture</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Dynamic landslide hazard estimate</w:t>
      </w:r>
    </w:p>
    <w:p w14:paraId="09400C8F">
      <w:pPr>
        <w:pStyle w:val="style2"/>
        <w:rPr>
          <w:color w:val="36363d"/>
        </w:rPr>
      </w:pPr>
      <w:r>
        <w:rPr>
          <w:color w:val="36363d"/>
        </w:rPr>
        <w:t xml:space="preserve"> Why this is better than a rainfall-only alert</w:t>
      </w:r>
    </w:p>
    <w:p w14:paraId="A39E820B">
      <w:pPr>
        <w:pStyle w:val="style0"/>
        <w:rPr>
          <w:color w:val="36363d"/>
        </w:rPr>
      </w:pPr>
      <w:r>
        <w:rPr>
          <w:color w:val="36363d"/>
        </w:rPr>
        <w:t>A rainfall threshold treats every location as if it has the same terrain, geology and drainage. A GIS-based system can instead recognise that identical rainfall can produce very different levels of concern on different slopes. This spatial context is a key advantage of multi-source geospatial intelligence.</w:t>
      </w:r>
    </w:p>
    <w:p w14:paraId="A261E886">
      <w:pPr>
        <w:pStyle w:val="style0"/>
        <w:rPr>
          <w:color w:val="36363d"/>
        </w:rPr>
      </w:pPr>
      <w:r>
        <w:rPr>
          <w:color w:val="36363d"/>
        </w:rPr>
        <w:br w:type="page"/>
      </w:r>
    </w:p>
    <w:p w14:paraId="092E80E8">
      <w:pPr>
        <w:pStyle w:val="style1"/>
        <w:rPr>
          <w:color w:val="36363d"/>
        </w:rPr>
      </w:pPr>
      <w:r>
        <w:rPr>
          <w:color w:val="36363d"/>
        </w:rPr>
        <w:t xml:space="preserve"> GIS Risk Mapping, AI/ML and Infrastructure Exposure</w:t>
      </w:r>
    </w:p>
    <w:p w14:paraId="790F5DF3">
      <w:pPr>
        <w:pStyle w:val="style2"/>
        <w:rPr>
          <w:color w:val="36363d"/>
        </w:rPr>
      </w:pPr>
      <w:r>
        <w:rPr>
          <w:color w:val="36363d"/>
        </w:rPr>
        <w:t xml:space="preserve"> GIS data stack</w:t>
      </w:r>
    </w:p>
    <w:tbl>
      <w:tblPr>
        <w:tblStyle w:val="style154"/>
        <w:tblW w:w="0" w:type="auto"/>
        <w:jc w:val="center"/>
        <w:tblLook w:val="04A0" w:firstRow="1" w:lastRow="0" w:firstColumn="1" w:lastColumn="0" w:noHBand="0" w:noVBand="1"/>
      </w:tblPr>
      <w:tblGrid>
        <w:gridCol w:w="5040"/>
        <w:gridCol w:w="5040"/>
      </w:tblGrid>
      <w:tr w14:paraId="64533126">
        <w:trPr>
          <w:jc w:val="center"/>
        </w:trPr>
        <w:tc>
          <w:tcPr>
            <w:tcW w:w="5040" w:type="dxa"/>
            <w:tcBorders/>
            <w:shd w:val="nil" w:color="auto" w:fill="d9eaf7"/>
            <w:vAlign w:val="center"/>
          </w:tcPr>
          <w:p w14:paraId="B6D168AE">
            <w:pPr>
              <w:pStyle w:val="style0"/>
              <w:rPr>
                <w:color w:val="36363d"/>
              </w:rPr>
            </w:pPr>
            <w:r>
              <w:rPr>
                <w:rFonts w:ascii="Aptos" w:hAnsi="Aptos"/>
                <w:b/>
                <w:color w:val="36363d"/>
                <w:sz w:val="18"/>
              </w:rPr>
              <w:t>Category</w:t>
            </w:r>
          </w:p>
        </w:tc>
        <w:tc>
          <w:tcPr>
            <w:tcW w:w="5040" w:type="dxa"/>
            <w:tcBorders/>
            <w:shd w:val="nil" w:color="auto" w:fill="d9eaf7"/>
            <w:vAlign w:val="center"/>
          </w:tcPr>
          <w:p w14:paraId="B7BDD32D">
            <w:pPr>
              <w:pStyle w:val="style0"/>
              <w:rPr>
                <w:color w:val="36363d"/>
              </w:rPr>
            </w:pPr>
            <w:r>
              <w:rPr>
                <w:rFonts w:ascii="Aptos" w:hAnsi="Aptos"/>
                <w:b/>
                <w:color w:val="36363d"/>
                <w:sz w:val="18"/>
              </w:rPr>
              <w:t>Layers</w:t>
            </w:r>
          </w:p>
        </w:tc>
      </w:tr>
      <w:tr w14:paraId="8C6F57E4">
        <w:tblPrEx/>
        <w:trPr>
          <w:jc w:val="center"/>
        </w:trPr>
        <w:tc>
          <w:tcPr>
            <w:tcW w:w="5040" w:type="dxa"/>
            <w:tcBorders/>
            <w:vAlign w:val="center"/>
          </w:tcPr>
          <w:p w14:paraId="87C5E0A1">
            <w:pPr>
              <w:pStyle w:val="style0"/>
              <w:rPr>
                <w:color w:val="36363d"/>
              </w:rPr>
            </w:pPr>
            <w:r>
              <w:rPr>
                <w:rFonts w:ascii="Aptos" w:hAnsi="Aptos"/>
                <w:b w:val="false"/>
                <w:color w:val="36363d"/>
                <w:sz w:val="18"/>
              </w:rPr>
              <w:t>Terrain</w:t>
            </w:r>
          </w:p>
        </w:tc>
        <w:tc>
          <w:tcPr>
            <w:tcW w:w="5040" w:type="dxa"/>
            <w:tcBorders/>
            <w:vAlign w:val="center"/>
          </w:tcPr>
          <w:p w14:paraId="1F3CA550">
            <w:pPr>
              <w:pStyle w:val="style0"/>
              <w:rPr>
                <w:color w:val="36363d"/>
              </w:rPr>
            </w:pPr>
            <w:r>
              <w:rPr>
                <w:rFonts w:ascii="Aptos" w:hAnsi="Aptos"/>
                <w:b w:val="false"/>
                <w:color w:val="36363d"/>
                <w:sz w:val="18"/>
              </w:rPr>
              <w:t>Elevation, slope, aspect, curvature, drainage, flow accumulation</w:t>
            </w:r>
          </w:p>
        </w:tc>
      </w:tr>
      <w:tr w14:paraId="2FCCC633">
        <w:tblPrEx/>
        <w:trPr>
          <w:jc w:val="center"/>
        </w:trPr>
        <w:tc>
          <w:tcPr>
            <w:tcW w:w="5040" w:type="dxa"/>
            <w:tcBorders/>
            <w:vAlign w:val="center"/>
          </w:tcPr>
          <w:p w14:paraId="C1B1074B">
            <w:pPr>
              <w:pStyle w:val="style0"/>
              <w:rPr>
                <w:color w:val="36363d"/>
              </w:rPr>
            </w:pPr>
            <w:r>
              <w:rPr>
                <w:rFonts w:ascii="Aptos" w:hAnsi="Aptos"/>
                <w:b w:val="false"/>
                <w:color w:val="36363d"/>
                <w:sz w:val="18"/>
              </w:rPr>
              <w:t>Geology/soil</w:t>
            </w:r>
          </w:p>
        </w:tc>
        <w:tc>
          <w:tcPr>
            <w:tcW w:w="5040" w:type="dxa"/>
            <w:tcBorders/>
            <w:vAlign w:val="center"/>
          </w:tcPr>
          <w:p w14:paraId="11EC3D5D">
            <w:pPr>
              <w:pStyle w:val="style0"/>
              <w:rPr>
                <w:color w:val="36363d"/>
              </w:rPr>
            </w:pPr>
            <w:r>
              <w:rPr>
                <w:rFonts w:ascii="Aptos" w:hAnsi="Aptos"/>
                <w:b w:val="false"/>
                <w:color w:val="36363d"/>
                <w:sz w:val="18"/>
              </w:rPr>
              <w:t>Geological formation, lithology, soil type, soil properties</w:t>
            </w:r>
          </w:p>
        </w:tc>
      </w:tr>
      <w:tr w14:paraId="DB68A68C">
        <w:tblPrEx/>
        <w:trPr>
          <w:jc w:val="center"/>
        </w:trPr>
        <w:tc>
          <w:tcPr>
            <w:tcW w:w="5040" w:type="dxa"/>
            <w:tcBorders/>
            <w:vAlign w:val="center"/>
          </w:tcPr>
          <w:p w14:paraId="D3ADE676">
            <w:pPr>
              <w:pStyle w:val="style0"/>
              <w:rPr>
                <w:color w:val="36363d"/>
              </w:rPr>
            </w:pPr>
            <w:r>
              <w:rPr>
                <w:rFonts w:ascii="Aptos" w:hAnsi="Aptos"/>
                <w:b w:val="false"/>
                <w:color w:val="36363d"/>
                <w:sz w:val="18"/>
              </w:rPr>
              <w:t>Remote sensing</w:t>
            </w:r>
          </w:p>
        </w:tc>
        <w:tc>
          <w:tcPr>
            <w:tcW w:w="5040" w:type="dxa"/>
            <w:tcBorders/>
            <w:vAlign w:val="center"/>
          </w:tcPr>
          <w:p w14:paraId="626EE696">
            <w:pPr>
              <w:pStyle w:val="style0"/>
              <w:rPr>
                <w:color w:val="36363d"/>
              </w:rPr>
            </w:pPr>
            <w:r>
              <w:rPr>
                <w:rFonts w:ascii="Aptos" w:hAnsi="Aptos"/>
                <w:b w:val="false"/>
                <w:color w:val="36363d"/>
                <w:sz w:val="18"/>
              </w:rPr>
              <w:t>Sentinel-1 deformation, SAR change, Sentinel-2 indices, Landsat history</w:t>
            </w:r>
          </w:p>
        </w:tc>
      </w:tr>
      <w:tr w14:paraId="87E949FF">
        <w:tblPrEx/>
        <w:trPr>
          <w:jc w:val="center"/>
        </w:trPr>
        <w:tc>
          <w:tcPr>
            <w:tcW w:w="5040" w:type="dxa"/>
            <w:tcBorders/>
            <w:vAlign w:val="center"/>
          </w:tcPr>
          <w:p w14:paraId="F4B8DFCA">
            <w:pPr>
              <w:pStyle w:val="style0"/>
              <w:rPr>
                <w:color w:val="36363d"/>
              </w:rPr>
            </w:pPr>
            <w:r>
              <w:rPr>
                <w:rFonts w:ascii="Aptos" w:hAnsi="Aptos"/>
                <w:b w:val="false"/>
                <w:color w:val="36363d"/>
                <w:sz w:val="18"/>
              </w:rPr>
              <w:t>Hydrometeorology</w:t>
            </w:r>
          </w:p>
        </w:tc>
        <w:tc>
          <w:tcPr>
            <w:tcW w:w="5040" w:type="dxa"/>
            <w:tcBorders/>
            <w:vAlign w:val="center"/>
          </w:tcPr>
          <w:p w14:paraId="0C887849">
            <w:pPr>
              <w:pStyle w:val="style0"/>
              <w:rPr>
                <w:color w:val="36363d"/>
              </w:rPr>
            </w:pPr>
            <w:r>
              <w:rPr>
                <w:rFonts w:ascii="Aptos" w:hAnsi="Aptos"/>
                <w:b w:val="false"/>
                <w:color w:val="36363d"/>
                <w:sz w:val="18"/>
              </w:rPr>
              <w:t>Rainfall, antecedent rainfall, soil moisture</w:t>
            </w:r>
          </w:p>
        </w:tc>
      </w:tr>
      <w:tr w14:paraId="5B583CAE">
        <w:tblPrEx/>
        <w:trPr>
          <w:jc w:val="center"/>
        </w:trPr>
        <w:tc>
          <w:tcPr>
            <w:tcW w:w="5040" w:type="dxa"/>
            <w:tcBorders/>
            <w:vAlign w:val="center"/>
          </w:tcPr>
          <w:p w14:paraId="62705F32">
            <w:pPr>
              <w:pStyle w:val="style0"/>
              <w:rPr>
                <w:color w:val="36363d"/>
              </w:rPr>
            </w:pPr>
            <w:r>
              <w:rPr>
                <w:rFonts w:ascii="Aptos" w:hAnsi="Aptos"/>
                <w:b w:val="false"/>
                <w:color w:val="36363d"/>
                <w:sz w:val="18"/>
              </w:rPr>
              <w:t>History</w:t>
            </w:r>
          </w:p>
        </w:tc>
        <w:tc>
          <w:tcPr>
            <w:tcW w:w="5040" w:type="dxa"/>
            <w:tcBorders/>
            <w:vAlign w:val="center"/>
          </w:tcPr>
          <w:p w14:paraId="02EA5512">
            <w:pPr>
              <w:pStyle w:val="style0"/>
              <w:rPr>
                <w:color w:val="36363d"/>
              </w:rPr>
            </w:pPr>
            <w:r>
              <w:rPr>
                <w:rFonts w:ascii="Aptos" w:hAnsi="Aptos"/>
                <w:b w:val="false"/>
                <w:color w:val="36363d"/>
                <w:sz w:val="18"/>
              </w:rPr>
              <w:t>Historical landslide locations and dates</w:t>
            </w:r>
          </w:p>
        </w:tc>
      </w:tr>
      <w:tr w14:paraId="D566D581">
        <w:tblPrEx/>
        <w:trPr>
          <w:jc w:val="center"/>
        </w:trPr>
        <w:tc>
          <w:tcPr>
            <w:tcW w:w="5040" w:type="dxa"/>
            <w:tcBorders/>
            <w:vAlign w:val="center"/>
          </w:tcPr>
          <w:p w14:paraId="C179EBCD">
            <w:pPr>
              <w:pStyle w:val="style0"/>
              <w:rPr>
                <w:color w:val="36363d"/>
              </w:rPr>
            </w:pPr>
            <w:r>
              <w:rPr>
                <w:rFonts w:ascii="Aptos" w:hAnsi="Aptos"/>
                <w:b w:val="false"/>
                <w:color w:val="36363d"/>
                <w:sz w:val="18"/>
              </w:rPr>
              <w:t>Exposure</w:t>
            </w:r>
          </w:p>
        </w:tc>
        <w:tc>
          <w:tcPr>
            <w:tcW w:w="5040" w:type="dxa"/>
            <w:tcBorders/>
            <w:vAlign w:val="center"/>
          </w:tcPr>
          <w:p w14:paraId="D183941E">
            <w:pPr>
              <w:pStyle w:val="style0"/>
              <w:rPr>
                <w:color w:val="36363d"/>
              </w:rPr>
            </w:pPr>
            <w:r>
              <w:rPr>
                <w:rFonts w:ascii="Aptos" w:hAnsi="Aptos"/>
                <w:b w:val="false"/>
                <w:color w:val="36363d"/>
                <w:sz w:val="18"/>
              </w:rPr>
              <w:t>Villages, roads, bridges, schools, hospitals, critical infrastructure</w:t>
            </w:r>
          </w:p>
        </w:tc>
      </w:tr>
    </w:tbl>
    <w:p w14:paraId="8DED52E7">
      <w:pPr>
        <w:pStyle w:val="style2"/>
        <w:rPr>
          <w:color w:val="36363d"/>
        </w:rPr>
      </w:pPr>
      <w:r>
        <w:rPr>
          <w:color w:val="36363d"/>
        </w:rPr>
        <w:t xml:space="preserve"> Susceptibility model</w:t>
      </w:r>
    </w:p>
    <w:p w14:paraId="606F6DD9">
      <w:pPr>
        <w:pStyle w:val="style0"/>
        <w:rPr>
          <w:color w:val="36363d"/>
        </w:rPr>
      </w:pPr>
      <w:r>
        <w:rPr>
          <w:color w:val="36363d"/>
        </w:rPr>
        <w:t>A transparent prototype can use a weighted index:</w:t>
      </w:r>
    </w:p>
    <w:p w14:paraId="2E83BA80">
      <w:pPr>
        <w:pStyle w:val="style0"/>
        <w:jc w:val="center"/>
        <w:rPr>
          <w:color w:val="36363d"/>
        </w:rPr>
      </w:pPr>
      <w:r>
        <w:rPr>
          <w:b/>
          <w:color w:val="36363d"/>
        </w:rPr>
        <w:t>LSI = w₁S + w₂R + w₃SM + w₄G + w₅LC + w₆D + w₇H + w₈Def</w:t>
      </w:r>
    </w:p>
    <w:p w14:paraId="9EAE28A2">
      <w:pPr>
        <w:pStyle w:val="style0"/>
        <w:rPr>
          <w:color w:val="36363d"/>
        </w:rPr>
      </w:pPr>
      <w:r>
        <w:rPr>
          <w:color w:val="36363d"/>
        </w:rPr>
        <w:t>where S is slope, R rainfall, SM soil moisture, G geology, LC land cover, D drainage, H historical landslide information and Def deformation. All inputs should be normalised and the weights calibrated against historical events before operational use.</w:t>
      </w:r>
    </w:p>
    <w:p w14:paraId="0C31E1AB">
      <w:pPr>
        <w:pStyle w:val="style2"/>
        <w:rPr>
          <w:color w:val="36363d"/>
        </w:rPr>
      </w:pPr>
      <w:r>
        <w:rPr>
          <w:color w:val="36363d"/>
        </w:rPr>
        <w:t xml:space="preserve"> Machine-learning extension</w:t>
      </w:r>
    </w:p>
    <w:p w14:paraId="8E14881A">
      <w:pPr>
        <w:pStyle w:val="style48"/>
        <w:spacing w:after="40"/>
        <w:rPr>
          <w:color w:val="36363d"/>
        </w:rPr>
      </w:pPr>
      <w:r>
        <w:rPr>
          <w:color w:val="36363d"/>
        </w:rPr>
        <w:t>Random Forest: strong baseline, interpretable feature importance and robust for tabular geospatial features.</w:t>
      </w:r>
    </w:p>
    <w:p w14:paraId="737F78C2">
      <w:pPr>
        <w:pStyle w:val="style48"/>
        <w:spacing w:after="40"/>
        <w:rPr>
          <w:color w:val="36363d"/>
        </w:rPr>
      </w:pPr>
      <w:r>
        <w:rPr>
          <w:color w:val="36363d"/>
        </w:rPr>
        <w:t>XGBoost/LightGBM: strong performance on structured environmental features.</w:t>
      </w:r>
    </w:p>
    <w:p w14:paraId="AFC71BEA">
      <w:pPr>
        <w:pStyle w:val="style48"/>
        <w:spacing w:after="40"/>
        <w:rPr>
          <w:color w:val="36363d"/>
        </w:rPr>
      </w:pPr>
      <w:r>
        <w:rPr>
          <w:color w:val="36363d"/>
        </w:rPr>
        <w:t>CNN/U-Net: suitable when the task becomes image classification or pixel-level landslide segmentation.</w:t>
      </w:r>
    </w:p>
    <w:p w14:paraId="3F8F2AEA">
      <w:pPr>
        <w:pStyle w:val="style48"/>
        <w:spacing w:after="40"/>
        <w:rPr>
          <w:color w:val="36363d"/>
        </w:rPr>
      </w:pPr>
      <w:r>
        <w:rPr>
          <w:color w:val="36363d"/>
        </w:rPr>
        <w:t>Time-series models: useful when temporal rainfall, deformation and satellite observations are central to the problem.</w:t>
      </w:r>
    </w:p>
    <w:p w14:paraId="FFDA84A8">
      <w:pPr>
        <w:pStyle w:val="style2"/>
        <w:rPr>
          <w:color w:val="36363d"/>
        </w:rPr>
      </w:pPr>
      <w:r>
        <w:rPr>
          <w:color w:val="36363d"/>
        </w:rPr>
        <w:t>Infrastructure exposure</w:t>
      </w:r>
    </w:p>
    <w:p w14:paraId="DB998CDC">
      <w:pPr>
        <w:pStyle w:val="style0"/>
        <w:rPr>
          <w:color w:val="36363d"/>
        </w:rPr>
      </w:pPr>
      <w:r>
        <w:rPr>
          <w:color w:val="36363d"/>
        </w:rPr>
        <w:t>The most useful output is not simply a red hazard polygon. The system should intersect hazard zones with critical assets and estimate what could be affected.</w:t>
      </w:r>
    </w:p>
    <w:p w14:paraId="F7D98DBA">
      <w:pPr>
        <w:pStyle w:val="style48"/>
        <w:spacing w:after="40"/>
        <w:rPr>
          <w:color w:val="36363d"/>
        </w:rPr>
      </w:pPr>
      <w:r>
        <w:rPr>
          <w:color w:val="36363d"/>
        </w:rPr>
        <w:t>Population/village exposure.</w:t>
      </w:r>
    </w:p>
    <w:p w14:paraId="9850303C">
      <w:pPr>
        <w:pStyle w:val="style48"/>
        <w:spacing w:after="40"/>
        <w:rPr>
          <w:color w:val="36363d"/>
        </w:rPr>
      </w:pPr>
      <w:r>
        <w:rPr>
          <w:color w:val="36363d"/>
        </w:rPr>
        <w:t>Road and railway exposure.</w:t>
      </w:r>
    </w:p>
    <w:p w14:paraId="26ACAF6D">
      <w:pPr>
        <w:pStyle w:val="style48"/>
        <w:spacing w:after="40"/>
        <w:rPr>
          <w:color w:val="36363d"/>
        </w:rPr>
      </w:pPr>
      <w:r>
        <w:rPr>
          <w:color w:val="36363d"/>
        </w:rPr>
        <w:t>Bridge exposure.</w:t>
      </w:r>
    </w:p>
    <w:p w14:paraId="64C1246A">
      <w:pPr>
        <w:pStyle w:val="style48"/>
        <w:spacing w:after="40"/>
        <w:rPr>
          <w:color w:val="36363d"/>
        </w:rPr>
      </w:pPr>
      <w:r>
        <w:rPr>
          <w:color w:val="36363d"/>
        </w:rPr>
        <w:t>School and hospital exposure.</w:t>
      </w:r>
    </w:p>
    <w:p w14:paraId="AC437324">
      <w:pPr>
        <w:pStyle w:val="style48"/>
        <w:spacing w:after="40"/>
        <w:rPr>
          <w:color w:val="36363d"/>
        </w:rPr>
      </w:pPr>
      <w:r>
        <w:rPr>
          <w:color w:val="36363d"/>
        </w:rPr>
        <w:t>Emergency-service and shelter exposure.</w:t>
      </w:r>
    </w:p>
    <w:p w14:paraId="DB727ECC">
      <w:pPr>
        <w:pStyle w:val="style48"/>
        <w:spacing w:after="40"/>
        <w:rPr>
          <w:color w:val="36363d"/>
        </w:rPr>
      </w:pPr>
      <w:r>
        <w:rPr>
          <w:color w:val="36363d"/>
        </w:rPr>
        <w:t>Power and communication infrastructure exposure.</w:t>
      </w:r>
    </w:p>
    <w:p w14:paraId="DD1F4E70">
      <w:pPr>
        <w:pStyle w:val="style2"/>
        <w:rPr>
          <w:color w:val="36363d"/>
        </w:rPr>
      </w:pPr>
      <w:r>
        <w:rPr>
          <w:color w:val="36363d"/>
        </w:rPr>
        <w:t xml:space="preserve"> Explainable alert</w:t>
      </w:r>
    </w:p>
    <w:p w14:paraId="43C9E72A">
      <w:pPr>
        <w:pStyle w:val="style0"/>
        <w:ind w:left="288" w:right="288"/>
        <w:rPr>
          <w:color w:val="36363d"/>
        </w:rPr>
      </w:pPr>
      <w:r>
        <w:rPr>
          <w:rFonts w:ascii="Consolas" w:hAnsi="Consolas"/>
          <w:color w:val="36363d"/>
          <w:sz w:val="17"/>
        </w:rPr>
        <w:t>LANDSLIDE RISK ALERT</w:t>
      </w:r>
      <w:r>
        <w:rPr>
          <w:rFonts w:ascii="Consolas" w:hAnsi="Consolas"/>
          <w:color w:val="36363d"/>
          <w:sz w:val="17"/>
        </w:rPr>
        <w:br/>
      </w:r>
      <w:r>
        <w:rPr>
          <w:rFonts w:ascii="Consolas" w:hAnsi="Consolas"/>
          <w:color w:val="36363d"/>
          <w:sz w:val="17"/>
        </w:rPr>
        <w:t>Location: Target slope / district</w:t>
      </w:r>
      <w:r>
        <w:rPr>
          <w:rFonts w:ascii="Consolas" w:hAnsi="Consolas"/>
          <w:color w:val="36363d"/>
          <w:sz w:val="17"/>
        </w:rPr>
        <w:br/>
      </w:r>
      <w:r>
        <w:rPr>
          <w:rFonts w:ascii="Consolas" w:hAnsi="Consolas"/>
          <w:color w:val="36363d"/>
          <w:sz w:val="17"/>
        </w:rPr>
        <w:t>Risk: VERY HIGH</w:t>
      </w:r>
      <w:r>
        <w:rPr>
          <w:rFonts w:ascii="Consolas" w:hAnsi="Consolas"/>
          <w:color w:val="36363d"/>
          <w:sz w:val="17"/>
        </w:rPr>
        <w:br/>
      </w:r>
      <w:r>
        <w:rPr>
          <w:rFonts w:ascii="Consolas" w:hAnsi="Consolas"/>
          <w:color w:val="36363d"/>
          <w:sz w:val="17"/>
        </w:rPr>
        <w:t>Reasons: steep slope + heavy recent rainfall + high antecedent wetness</w:t>
      </w:r>
      <w:r>
        <w:rPr>
          <w:rFonts w:ascii="Consolas" w:hAnsi="Consolas"/>
          <w:color w:val="36363d"/>
          <w:sz w:val="17"/>
        </w:rPr>
        <w:br/>
      </w:r>
      <w:r>
        <w:rPr>
          <w:rFonts w:ascii="Consolas" w:hAnsi="Consolas"/>
          <w:color w:val="36363d"/>
          <w:sz w:val="17"/>
        </w:rPr>
        <w:t xml:space="preserve">         + persistent deformation + historical landslide proximity</w:t>
      </w:r>
      <w:r>
        <w:rPr>
          <w:rFonts w:ascii="Consolas" w:hAnsi="Consolas"/>
          <w:color w:val="36363d"/>
          <w:sz w:val="17"/>
        </w:rPr>
        <w:br/>
      </w:r>
      <w:r>
        <w:rPr>
          <w:rFonts w:ascii="Consolas" w:hAnsi="Consolas"/>
          <w:color w:val="36363d"/>
          <w:sz w:val="17"/>
        </w:rPr>
        <w:t>Exposure: road + bridge + village + critical facility</w:t>
      </w:r>
      <w:r>
        <w:rPr>
          <w:rFonts w:ascii="Consolas" w:hAnsi="Consolas"/>
          <w:color w:val="36363d"/>
          <w:sz w:val="17"/>
        </w:rPr>
        <w:br/>
      </w:r>
      <w:r>
        <w:rPr>
          <w:rFonts w:ascii="Consolas" w:hAnsi="Consolas"/>
          <w:color w:val="36363d"/>
          <w:sz w:val="17"/>
        </w:rPr>
        <w:t>Action: prioritise field verification and emergency preparedness</w:t>
      </w:r>
    </w:p>
    <w:p w14:paraId="6543EA3C">
      <w:pPr>
        <w:pStyle w:val="style0"/>
        <w:rPr>
          <w:color w:val="36363d"/>
        </w:rPr>
      </w:pPr>
      <w:r>
        <w:rPr>
          <w:color w:val="36363d"/>
        </w:rPr>
        <w:br w:type="page"/>
      </w:r>
    </w:p>
    <w:p w14:paraId="E5A72BB8">
      <w:pPr>
        <w:pStyle w:val="style2"/>
        <w:rPr>
          <w:color w:val="36363d"/>
        </w:rPr>
      </w:pPr>
    </w:p>
    <w:p w14:paraId="78472F01">
      <w:pPr>
        <w:pStyle w:val="style0"/>
        <w:ind w:left="288" w:right="288"/>
        <w:rPr>
          <w:color w:val="36363d"/>
        </w:rPr>
      </w:pPr>
    </w:p>
    <w:p w14:paraId="08C4967B">
      <w:pPr>
        <w:pStyle w:val="style2"/>
        <w:rPr>
          <w:color w:val="36363d"/>
        </w:rPr>
      </w:pPr>
      <w:r>
        <w:rPr>
          <w:color w:val="36363d"/>
        </w:rPr>
        <w:t xml:space="preserve"> Recommended technology stack</w:t>
      </w:r>
    </w:p>
    <w:tbl>
      <w:tblPr>
        <w:tblStyle w:val="style154"/>
        <w:tblW w:w="0" w:type="auto"/>
        <w:jc w:val="center"/>
        <w:tblLook w:val="04A0" w:firstRow="1" w:lastRow="0" w:firstColumn="1" w:lastColumn="0" w:noHBand="0" w:noVBand="1"/>
      </w:tblPr>
      <w:tblGrid>
        <w:gridCol w:w="5040"/>
        <w:gridCol w:w="5040"/>
      </w:tblGrid>
      <w:tr w14:paraId="4ED0ADED">
        <w:trPr>
          <w:jc w:val="center"/>
        </w:trPr>
        <w:tc>
          <w:tcPr>
            <w:tcW w:w="5040" w:type="dxa"/>
            <w:tcBorders/>
            <w:shd w:val="nil" w:color="auto" w:fill="d9eaf7"/>
            <w:vAlign w:val="center"/>
          </w:tcPr>
          <w:p w14:paraId="3EA8C0EA">
            <w:pPr>
              <w:pStyle w:val="style0"/>
              <w:rPr>
                <w:color w:val="36363d"/>
              </w:rPr>
            </w:pPr>
            <w:r>
              <w:rPr>
                <w:rFonts w:ascii="Aptos" w:hAnsi="Aptos"/>
                <w:b/>
                <w:color w:val="36363d"/>
                <w:sz w:val="18"/>
              </w:rPr>
              <w:t>Component</w:t>
            </w:r>
          </w:p>
        </w:tc>
        <w:tc>
          <w:tcPr>
            <w:tcW w:w="5040" w:type="dxa"/>
            <w:tcBorders/>
            <w:shd w:val="nil" w:color="auto" w:fill="d9eaf7"/>
            <w:vAlign w:val="center"/>
          </w:tcPr>
          <w:p w14:paraId="A2580F06">
            <w:pPr>
              <w:pStyle w:val="style0"/>
              <w:rPr>
                <w:color w:val="36363d"/>
              </w:rPr>
            </w:pPr>
            <w:r>
              <w:rPr>
                <w:rFonts w:ascii="Aptos" w:hAnsi="Aptos"/>
                <w:b/>
                <w:color w:val="36363d"/>
                <w:sz w:val="18"/>
              </w:rPr>
              <w:t>Recommended technologies</w:t>
            </w:r>
          </w:p>
        </w:tc>
      </w:tr>
      <w:tr w14:paraId="9FAE8EF4">
        <w:tblPrEx/>
        <w:trPr>
          <w:jc w:val="center"/>
        </w:trPr>
        <w:tc>
          <w:tcPr>
            <w:tcW w:w="5040" w:type="dxa"/>
            <w:tcBorders/>
            <w:vAlign w:val="center"/>
          </w:tcPr>
          <w:p w14:paraId="340C970E">
            <w:pPr>
              <w:pStyle w:val="style0"/>
              <w:rPr>
                <w:color w:val="36363d"/>
              </w:rPr>
            </w:pPr>
            <w:r>
              <w:rPr>
                <w:rFonts w:ascii="Aptos" w:hAnsi="Aptos"/>
                <w:b w:val="false"/>
                <w:color w:val="36363d"/>
                <w:sz w:val="18"/>
              </w:rPr>
              <w:t>Frontend/WebGIS</w:t>
            </w:r>
          </w:p>
        </w:tc>
        <w:tc>
          <w:tcPr>
            <w:tcW w:w="5040" w:type="dxa"/>
            <w:tcBorders/>
            <w:vAlign w:val="center"/>
          </w:tcPr>
          <w:p w14:paraId="A3C26786">
            <w:pPr>
              <w:pStyle w:val="style0"/>
              <w:rPr>
                <w:color w:val="36363d"/>
              </w:rPr>
            </w:pPr>
            <w:r>
              <w:rPr>
                <w:rFonts w:ascii="Aptos" w:hAnsi="Aptos"/>
                <w:b w:val="false"/>
                <w:color w:val="36363d"/>
                <w:sz w:val="18"/>
              </w:rPr>
              <w:t>React/Next.js, Leaflet or comparable WebGIS framework</w:t>
            </w:r>
          </w:p>
        </w:tc>
      </w:tr>
      <w:tr w14:paraId="E7A0416D">
        <w:tblPrEx/>
        <w:trPr>
          <w:jc w:val="center"/>
        </w:trPr>
        <w:tc>
          <w:tcPr>
            <w:tcW w:w="5040" w:type="dxa"/>
            <w:tcBorders/>
            <w:vAlign w:val="center"/>
          </w:tcPr>
          <w:p w14:paraId="F53207CC">
            <w:pPr>
              <w:pStyle w:val="style0"/>
              <w:rPr>
                <w:color w:val="36363d"/>
              </w:rPr>
            </w:pPr>
            <w:r>
              <w:rPr>
                <w:rFonts w:ascii="Aptos" w:hAnsi="Aptos"/>
                <w:b w:val="false"/>
                <w:color w:val="36363d"/>
                <w:sz w:val="18"/>
              </w:rPr>
              <w:t>Backend</w:t>
            </w:r>
          </w:p>
        </w:tc>
        <w:tc>
          <w:tcPr>
            <w:tcW w:w="5040" w:type="dxa"/>
            <w:tcBorders/>
            <w:vAlign w:val="center"/>
          </w:tcPr>
          <w:p w14:paraId="D5FBBB69">
            <w:pPr>
              <w:pStyle w:val="style0"/>
              <w:rPr>
                <w:color w:val="36363d"/>
              </w:rPr>
            </w:pPr>
            <w:r>
              <w:rPr>
                <w:rFonts w:ascii="Aptos" w:hAnsi="Aptos"/>
                <w:b w:val="false"/>
                <w:color w:val="36363d"/>
                <w:sz w:val="18"/>
              </w:rPr>
              <w:t>Python, FastAPI</w:t>
            </w:r>
          </w:p>
        </w:tc>
      </w:tr>
      <w:tr w14:paraId="EF7EB38C">
        <w:tblPrEx/>
        <w:trPr>
          <w:jc w:val="center"/>
        </w:trPr>
        <w:tc>
          <w:tcPr>
            <w:tcW w:w="5040" w:type="dxa"/>
            <w:tcBorders/>
            <w:vAlign w:val="center"/>
          </w:tcPr>
          <w:p w14:paraId="CC17B88B">
            <w:pPr>
              <w:pStyle w:val="style0"/>
              <w:rPr>
                <w:color w:val="36363d"/>
              </w:rPr>
            </w:pPr>
            <w:r>
              <w:rPr>
                <w:rFonts w:ascii="Aptos" w:hAnsi="Aptos"/>
                <w:b w:val="false"/>
                <w:color w:val="36363d"/>
                <w:sz w:val="18"/>
              </w:rPr>
              <w:t>Spatial database</w:t>
            </w:r>
          </w:p>
        </w:tc>
        <w:tc>
          <w:tcPr>
            <w:tcW w:w="5040" w:type="dxa"/>
            <w:tcBorders/>
            <w:vAlign w:val="center"/>
          </w:tcPr>
          <w:p w14:paraId="CC8F1DC2">
            <w:pPr>
              <w:pStyle w:val="style0"/>
              <w:rPr>
                <w:color w:val="36363d"/>
              </w:rPr>
            </w:pPr>
            <w:r>
              <w:rPr>
                <w:rFonts w:ascii="Aptos" w:hAnsi="Aptos"/>
                <w:b w:val="false"/>
                <w:color w:val="36363d"/>
                <w:sz w:val="18"/>
              </w:rPr>
              <w:t>PostgreSQL + PostGIS</w:t>
            </w:r>
          </w:p>
        </w:tc>
      </w:tr>
      <w:tr w14:paraId="C854FE42">
        <w:tblPrEx/>
        <w:trPr>
          <w:jc w:val="center"/>
        </w:trPr>
        <w:tc>
          <w:tcPr>
            <w:tcW w:w="5040" w:type="dxa"/>
            <w:tcBorders/>
            <w:vAlign w:val="center"/>
          </w:tcPr>
          <w:p w14:paraId="585F2BCE">
            <w:pPr>
              <w:pStyle w:val="style0"/>
              <w:rPr>
                <w:color w:val="36363d"/>
              </w:rPr>
            </w:pPr>
            <w:r>
              <w:rPr>
                <w:rFonts w:ascii="Aptos" w:hAnsi="Aptos"/>
                <w:b w:val="false"/>
                <w:color w:val="36363d"/>
                <w:sz w:val="18"/>
              </w:rPr>
              <w:t>Geospatial processing</w:t>
            </w:r>
          </w:p>
        </w:tc>
        <w:tc>
          <w:tcPr>
            <w:tcW w:w="5040" w:type="dxa"/>
            <w:tcBorders/>
            <w:vAlign w:val="center"/>
          </w:tcPr>
          <w:p w14:paraId="F7F9EDB1">
            <w:pPr>
              <w:pStyle w:val="style0"/>
              <w:rPr>
                <w:color w:val="36363d"/>
              </w:rPr>
            </w:pPr>
            <w:r>
              <w:rPr>
                <w:rFonts w:ascii="Aptos" w:hAnsi="Aptos"/>
                <w:b w:val="false"/>
                <w:color w:val="36363d"/>
                <w:sz w:val="18"/>
              </w:rPr>
              <w:t>GDAL, Rasterio, GeoPandas, Shapely, QGIS</w:t>
            </w:r>
          </w:p>
        </w:tc>
      </w:tr>
      <w:tr w14:paraId="9D541EAE">
        <w:tblPrEx/>
        <w:trPr>
          <w:jc w:val="center"/>
        </w:trPr>
        <w:tc>
          <w:tcPr>
            <w:tcW w:w="5040" w:type="dxa"/>
            <w:tcBorders/>
            <w:vAlign w:val="center"/>
          </w:tcPr>
          <w:p w14:paraId="C23E9337">
            <w:pPr>
              <w:pStyle w:val="style0"/>
              <w:rPr>
                <w:color w:val="36363d"/>
              </w:rPr>
            </w:pPr>
            <w:r>
              <w:rPr>
                <w:rFonts w:ascii="Aptos" w:hAnsi="Aptos"/>
                <w:b w:val="false"/>
                <w:color w:val="36363d"/>
                <w:sz w:val="18"/>
              </w:rPr>
              <w:t>Satellite processing</w:t>
            </w:r>
          </w:p>
        </w:tc>
        <w:tc>
          <w:tcPr>
            <w:tcW w:w="5040" w:type="dxa"/>
            <w:tcBorders/>
            <w:vAlign w:val="center"/>
          </w:tcPr>
          <w:p w14:paraId="0346AFDE">
            <w:pPr>
              <w:pStyle w:val="style0"/>
              <w:rPr>
                <w:color w:val="36363d"/>
              </w:rPr>
            </w:pPr>
            <w:r>
              <w:rPr>
                <w:rFonts w:ascii="Aptos" w:hAnsi="Aptos"/>
                <w:b w:val="false"/>
                <w:color w:val="36363d"/>
                <w:sz w:val="18"/>
              </w:rPr>
              <w:t>Google Earth Engine / Copernicus Data Space / dedicated SAR tools</w:t>
            </w:r>
          </w:p>
        </w:tc>
      </w:tr>
      <w:tr w14:paraId="447CF8D8">
        <w:tblPrEx/>
        <w:trPr>
          <w:jc w:val="center"/>
        </w:trPr>
        <w:tc>
          <w:tcPr>
            <w:tcW w:w="5040" w:type="dxa"/>
            <w:tcBorders/>
            <w:vAlign w:val="center"/>
          </w:tcPr>
          <w:p w14:paraId="FD226E09">
            <w:pPr>
              <w:pStyle w:val="style0"/>
              <w:rPr>
                <w:color w:val="36363d"/>
              </w:rPr>
            </w:pPr>
            <w:r>
              <w:rPr>
                <w:rFonts w:ascii="Aptos" w:hAnsi="Aptos"/>
                <w:b w:val="false"/>
                <w:color w:val="36363d"/>
                <w:sz w:val="18"/>
              </w:rPr>
              <w:t>Machine learning</w:t>
            </w:r>
          </w:p>
        </w:tc>
        <w:tc>
          <w:tcPr>
            <w:tcW w:w="5040" w:type="dxa"/>
            <w:tcBorders/>
            <w:vAlign w:val="center"/>
          </w:tcPr>
          <w:p w14:paraId="0928CDEF">
            <w:pPr>
              <w:pStyle w:val="style0"/>
              <w:rPr>
                <w:color w:val="36363d"/>
              </w:rPr>
            </w:pPr>
            <w:r>
              <w:rPr>
                <w:rFonts w:ascii="Aptos" w:hAnsi="Aptos"/>
                <w:b w:val="false"/>
                <w:color w:val="36363d"/>
                <w:sz w:val="18"/>
              </w:rPr>
              <w:t>Scikit-learn, XGBoost, PyTorch/TensorFlow where required</w:t>
            </w:r>
          </w:p>
        </w:tc>
      </w:tr>
      <w:tr w14:paraId="E3A84C9E">
        <w:tblPrEx/>
        <w:trPr>
          <w:jc w:val="center"/>
        </w:trPr>
        <w:tc>
          <w:tcPr>
            <w:tcW w:w="5040" w:type="dxa"/>
            <w:tcBorders/>
            <w:vAlign w:val="center"/>
          </w:tcPr>
          <w:p w14:paraId="C0B0CD88">
            <w:pPr>
              <w:pStyle w:val="style0"/>
              <w:rPr>
                <w:color w:val="36363d"/>
              </w:rPr>
            </w:pPr>
            <w:r>
              <w:rPr>
                <w:rFonts w:ascii="Aptos" w:hAnsi="Aptos"/>
                <w:b w:val="false"/>
                <w:color w:val="36363d"/>
                <w:sz w:val="18"/>
              </w:rPr>
              <w:t>Visualisation</w:t>
            </w:r>
          </w:p>
        </w:tc>
        <w:tc>
          <w:tcPr>
            <w:tcW w:w="5040" w:type="dxa"/>
            <w:tcBorders/>
            <w:vAlign w:val="center"/>
          </w:tcPr>
          <w:p w14:paraId="17CCEAC9">
            <w:pPr>
              <w:pStyle w:val="style0"/>
              <w:rPr>
                <w:color w:val="36363d"/>
              </w:rPr>
            </w:pPr>
            <w:r>
              <w:rPr>
                <w:rFonts w:ascii="Aptos" w:hAnsi="Aptos"/>
                <w:b w:val="false"/>
                <w:color w:val="36363d"/>
                <w:sz w:val="18"/>
              </w:rPr>
              <w:t>Interactive GIS layers, time series, charts and explainable alert panels</w:t>
            </w:r>
          </w:p>
        </w:tc>
      </w:tr>
    </w:tbl>
    <w:p w14:paraId="F2253D0B">
      <w:pPr>
        <w:pStyle w:val="style2"/>
        <w:rPr>
          <w:color w:val="36363d"/>
        </w:rPr>
      </w:pPr>
      <w:r>
        <w:rPr>
          <w:color w:val="36363d"/>
        </w:rPr>
        <w:t xml:space="preserve"> Validation strategy</w:t>
      </w:r>
    </w:p>
    <w:p w14:paraId="15644D22">
      <w:pPr>
        <w:pStyle w:val="style0"/>
        <w:rPr>
          <w:color w:val="36363d"/>
        </w:rPr>
      </w:pPr>
      <w:r>
        <w:rPr>
          <w:color w:val="36363d"/>
        </w:rPr>
        <w:t>Historical landslide events should be divided into training, validation and test sets. Spatial and temporal leakage should be avoided; otherwise nearby events from the same period can make performance look unrealistically high.</w:t>
      </w:r>
    </w:p>
    <w:tbl>
      <w:tblPr>
        <w:tblStyle w:val="style154"/>
        <w:tblW w:w="0" w:type="auto"/>
        <w:jc w:val="center"/>
        <w:tblLook w:val="04A0" w:firstRow="1" w:lastRow="0" w:firstColumn="1" w:lastColumn="0" w:noHBand="0" w:noVBand="1"/>
      </w:tblPr>
      <w:tblGrid>
        <w:gridCol w:w="5040"/>
        <w:gridCol w:w="5040"/>
      </w:tblGrid>
      <w:tr w14:paraId="9A90D5D1">
        <w:trPr>
          <w:jc w:val="center"/>
        </w:trPr>
        <w:tc>
          <w:tcPr>
            <w:tcW w:w="5040" w:type="dxa"/>
            <w:tcBorders/>
            <w:shd w:val="nil" w:color="auto" w:fill="d9eaf7"/>
            <w:vAlign w:val="center"/>
          </w:tcPr>
          <w:p w14:paraId="1E4BA102">
            <w:pPr>
              <w:pStyle w:val="style0"/>
              <w:rPr>
                <w:color w:val="36363d"/>
              </w:rPr>
            </w:pPr>
            <w:r>
              <w:rPr>
                <w:rFonts w:ascii="Aptos" w:hAnsi="Aptos"/>
                <w:b/>
                <w:color w:val="36363d"/>
                <w:sz w:val="18"/>
              </w:rPr>
              <w:t>Metric</w:t>
            </w:r>
          </w:p>
        </w:tc>
        <w:tc>
          <w:tcPr>
            <w:tcW w:w="5040" w:type="dxa"/>
            <w:tcBorders/>
            <w:shd w:val="nil" w:color="auto" w:fill="d9eaf7"/>
            <w:vAlign w:val="center"/>
          </w:tcPr>
          <w:p w14:paraId="EDAC8FDB">
            <w:pPr>
              <w:pStyle w:val="style0"/>
              <w:rPr>
                <w:color w:val="36363d"/>
              </w:rPr>
            </w:pPr>
            <w:r>
              <w:rPr>
                <w:rFonts w:ascii="Aptos" w:hAnsi="Aptos"/>
                <w:b/>
                <w:color w:val="36363d"/>
                <w:sz w:val="18"/>
              </w:rPr>
              <w:t>Purpose</w:t>
            </w:r>
          </w:p>
        </w:tc>
      </w:tr>
      <w:tr w14:paraId="8663B477">
        <w:tblPrEx/>
        <w:trPr>
          <w:jc w:val="center"/>
        </w:trPr>
        <w:tc>
          <w:tcPr>
            <w:tcW w:w="5040" w:type="dxa"/>
            <w:tcBorders/>
            <w:vAlign w:val="center"/>
          </w:tcPr>
          <w:p w14:paraId="03910889">
            <w:pPr>
              <w:pStyle w:val="style0"/>
              <w:rPr>
                <w:color w:val="36363d"/>
              </w:rPr>
            </w:pPr>
            <w:r>
              <w:rPr>
                <w:rFonts w:ascii="Aptos" w:hAnsi="Aptos"/>
                <w:b w:val="false"/>
                <w:color w:val="36363d"/>
                <w:sz w:val="18"/>
              </w:rPr>
              <w:t>Precision</w:t>
            </w:r>
          </w:p>
        </w:tc>
        <w:tc>
          <w:tcPr>
            <w:tcW w:w="5040" w:type="dxa"/>
            <w:tcBorders/>
            <w:vAlign w:val="center"/>
          </w:tcPr>
          <w:p w14:paraId="91C11D69">
            <w:pPr>
              <w:pStyle w:val="style0"/>
              <w:rPr>
                <w:color w:val="36363d"/>
              </w:rPr>
            </w:pPr>
            <w:r>
              <w:rPr>
                <w:rFonts w:ascii="Aptos" w:hAnsi="Aptos"/>
                <w:b w:val="false"/>
                <w:color w:val="36363d"/>
                <w:sz w:val="18"/>
              </w:rPr>
              <w:t>How many predicted positive locations/events are actually positive</w:t>
            </w:r>
          </w:p>
        </w:tc>
      </w:tr>
      <w:tr w14:paraId="A3CCE121">
        <w:tblPrEx/>
        <w:trPr>
          <w:jc w:val="center"/>
        </w:trPr>
        <w:tc>
          <w:tcPr>
            <w:tcW w:w="5040" w:type="dxa"/>
            <w:tcBorders/>
            <w:vAlign w:val="center"/>
          </w:tcPr>
          <w:p w14:paraId="8130957D">
            <w:pPr>
              <w:pStyle w:val="style0"/>
              <w:rPr>
                <w:color w:val="36363d"/>
              </w:rPr>
            </w:pPr>
            <w:r>
              <w:rPr>
                <w:rFonts w:ascii="Aptos" w:hAnsi="Aptos"/>
                <w:b w:val="false"/>
                <w:color w:val="36363d"/>
                <w:sz w:val="18"/>
              </w:rPr>
              <w:t>Recall</w:t>
            </w:r>
          </w:p>
        </w:tc>
        <w:tc>
          <w:tcPr>
            <w:tcW w:w="5040" w:type="dxa"/>
            <w:tcBorders/>
            <w:vAlign w:val="center"/>
          </w:tcPr>
          <w:p w14:paraId="701B57A2">
            <w:pPr>
              <w:pStyle w:val="style0"/>
              <w:rPr>
                <w:color w:val="36363d"/>
              </w:rPr>
            </w:pPr>
            <w:r>
              <w:rPr>
                <w:rFonts w:ascii="Aptos" w:hAnsi="Aptos"/>
                <w:b w:val="false"/>
                <w:color w:val="36363d"/>
                <w:sz w:val="18"/>
              </w:rPr>
              <w:t>How many actual landslide cases are detected</w:t>
            </w:r>
          </w:p>
        </w:tc>
      </w:tr>
      <w:tr w14:paraId="3B64F0F1">
        <w:tblPrEx/>
        <w:trPr>
          <w:jc w:val="center"/>
        </w:trPr>
        <w:tc>
          <w:tcPr>
            <w:tcW w:w="5040" w:type="dxa"/>
            <w:tcBorders/>
            <w:vAlign w:val="center"/>
          </w:tcPr>
          <w:p w14:paraId="D6B7A9D9">
            <w:pPr>
              <w:pStyle w:val="style0"/>
              <w:rPr>
                <w:color w:val="36363d"/>
              </w:rPr>
            </w:pPr>
            <w:r>
              <w:rPr>
                <w:rFonts w:ascii="Aptos" w:hAnsi="Aptos"/>
                <w:b w:val="false"/>
                <w:color w:val="36363d"/>
                <w:sz w:val="18"/>
              </w:rPr>
              <w:t>F1 score</w:t>
            </w:r>
          </w:p>
        </w:tc>
        <w:tc>
          <w:tcPr>
            <w:tcW w:w="5040" w:type="dxa"/>
            <w:tcBorders/>
            <w:vAlign w:val="center"/>
          </w:tcPr>
          <w:p w14:paraId="245B8A3D">
            <w:pPr>
              <w:pStyle w:val="style0"/>
              <w:rPr>
                <w:color w:val="36363d"/>
              </w:rPr>
            </w:pPr>
            <w:r>
              <w:rPr>
                <w:rFonts w:ascii="Aptos" w:hAnsi="Aptos"/>
                <w:b w:val="false"/>
                <w:color w:val="36363d"/>
                <w:sz w:val="18"/>
              </w:rPr>
              <w:t>Balances precision and recall</w:t>
            </w:r>
          </w:p>
        </w:tc>
      </w:tr>
      <w:tr w14:paraId="91C1AF40">
        <w:tblPrEx/>
        <w:trPr>
          <w:jc w:val="center"/>
        </w:trPr>
        <w:tc>
          <w:tcPr>
            <w:tcW w:w="5040" w:type="dxa"/>
            <w:tcBorders/>
            <w:vAlign w:val="center"/>
          </w:tcPr>
          <w:p w14:paraId="200BFF69">
            <w:pPr>
              <w:pStyle w:val="style0"/>
              <w:rPr>
                <w:color w:val="36363d"/>
              </w:rPr>
            </w:pPr>
            <w:r>
              <w:rPr>
                <w:rFonts w:ascii="Aptos" w:hAnsi="Aptos"/>
                <w:b w:val="false"/>
                <w:color w:val="36363d"/>
                <w:sz w:val="18"/>
              </w:rPr>
              <w:t>ROC-AUC</w:t>
            </w:r>
          </w:p>
        </w:tc>
        <w:tc>
          <w:tcPr>
            <w:tcW w:w="5040" w:type="dxa"/>
            <w:tcBorders/>
            <w:vAlign w:val="center"/>
          </w:tcPr>
          <w:p w14:paraId="408661F0">
            <w:pPr>
              <w:pStyle w:val="style0"/>
              <w:rPr>
                <w:color w:val="36363d"/>
              </w:rPr>
            </w:pPr>
            <w:r>
              <w:rPr>
                <w:rFonts w:ascii="Aptos" w:hAnsi="Aptos"/>
                <w:b w:val="false"/>
                <w:color w:val="36363d"/>
                <w:sz w:val="18"/>
              </w:rPr>
              <w:t>Measures ranking/discrimination performance</w:t>
            </w:r>
          </w:p>
        </w:tc>
      </w:tr>
      <w:tr w14:paraId="476E389D">
        <w:tblPrEx/>
        <w:trPr>
          <w:jc w:val="center"/>
        </w:trPr>
        <w:tc>
          <w:tcPr>
            <w:tcW w:w="5040" w:type="dxa"/>
            <w:tcBorders/>
            <w:vAlign w:val="center"/>
          </w:tcPr>
          <w:p w14:paraId="E2FFCA5E">
            <w:pPr>
              <w:pStyle w:val="style0"/>
              <w:rPr>
                <w:color w:val="36363d"/>
              </w:rPr>
            </w:pPr>
            <w:r>
              <w:rPr>
                <w:rFonts w:ascii="Aptos" w:hAnsi="Aptos"/>
                <w:b w:val="false"/>
                <w:color w:val="36363d"/>
                <w:sz w:val="18"/>
              </w:rPr>
              <w:t>Spatial validation</w:t>
            </w:r>
          </w:p>
        </w:tc>
        <w:tc>
          <w:tcPr>
            <w:tcW w:w="5040" w:type="dxa"/>
            <w:tcBorders/>
            <w:vAlign w:val="center"/>
          </w:tcPr>
          <w:p w14:paraId="E87A7CB4">
            <w:pPr>
              <w:pStyle w:val="style0"/>
              <w:rPr>
                <w:color w:val="36363d"/>
              </w:rPr>
            </w:pPr>
            <w:r>
              <w:rPr>
                <w:rFonts w:ascii="Aptos" w:hAnsi="Aptos"/>
                <w:b w:val="false"/>
                <w:color w:val="36363d"/>
                <w:sz w:val="18"/>
              </w:rPr>
              <w:t>Tests whether the model generalises to new areas</w:t>
            </w:r>
          </w:p>
        </w:tc>
      </w:tr>
      <w:tr w14:paraId="A6E9DBF4">
        <w:tblPrEx/>
        <w:trPr>
          <w:jc w:val="center"/>
        </w:trPr>
        <w:tc>
          <w:tcPr>
            <w:tcW w:w="5040" w:type="dxa"/>
            <w:tcBorders/>
            <w:vAlign w:val="center"/>
          </w:tcPr>
          <w:p w14:paraId="B1F39901">
            <w:pPr>
              <w:pStyle w:val="style0"/>
              <w:rPr>
                <w:color w:val="36363d"/>
              </w:rPr>
            </w:pPr>
            <w:r>
              <w:rPr>
                <w:rFonts w:ascii="Aptos" w:hAnsi="Aptos"/>
                <w:b w:val="false"/>
                <w:color w:val="36363d"/>
                <w:sz w:val="18"/>
              </w:rPr>
              <w:t>Temporal validation</w:t>
            </w:r>
          </w:p>
        </w:tc>
        <w:tc>
          <w:tcPr>
            <w:tcW w:w="5040" w:type="dxa"/>
            <w:tcBorders/>
            <w:vAlign w:val="center"/>
          </w:tcPr>
          <w:p w14:paraId="C883F531">
            <w:pPr>
              <w:pStyle w:val="style0"/>
              <w:rPr>
                <w:color w:val="36363d"/>
              </w:rPr>
            </w:pPr>
            <w:r>
              <w:rPr>
                <w:rFonts w:ascii="Aptos" w:hAnsi="Aptos"/>
                <w:b w:val="false"/>
                <w:color w:val="36363d"/>
                <w:sz w:val="18"/>
              </w:rPr>
              <w:t>Tests performance on later/unseen events</w:t>
            </w:r>
          </w:p>
        </w:tc>
      </w:tr>
    </w:tbl>
    <w:p w14:paraId="EC333EBF">
      <w:pPr>
        <w:pStyle w:val="style2"/>
        <w:rPr>
          <w:color w:val="36363d"/>
        </w:rPr>
      </w:pPr>
      <w:r>
        <w:rPr>
          <w:color w:val="36363d"/>
        </w:rPr>
        <w:t>False-alarm control</w:t>
      </w:r>
    </w:p>
    <w:p w14:paraId="E45DD3DC">
      <w:pPr>
        <w:pStyle w:val="style0"/>
        <w:rPr>
          <w:color w:val="36363d"/>
        </w:rPr>
      </w:pPr>
      <w:r>
        <w:rPr>
          <w:color w:val="36363d"/>
        </w:rPr>
        <w:t>Use multi-signal confirmation. For example, a high susceptibility location combined with an extreme rainfall episode and elevated wetness can be escalated further if satellite deformation or change detection also supports the signal. Thresholds should be learned/calibrated using historical events and field verification.</w:t>
      </w:r>
    </w:p>
    <w:p w14:paraId="15C013FF">
      <w:pPr>
        <w:pStyle w:val="style2"/>
        <w:rPr>
          <w:color w:val="36363d"/>
        </w:rPr>
      </w:pPr>
      <w:r>
        <w:rPr>
          <w:color w:val="36363d"/>
        </w:rPr>
        <w:t xml:space="preserve"> What the system should and should not claim</w:t>
      </w:r>
    </w:p>
    <w:tbl>
      <w:tblPr>
        <w:tblStyle w:val="style154"/>
        <w:tblW w:w="0" w:type="auto"/>
        <w:jc w:val="center"/>
        <w:tblLook w:val="04A0" w:firstRow="1" w:lastRow="0" w:firstColumn="1" w:lastColumn="0" w:noHBand="0" w:noVBand="1"/>
      </w:tblPr>
      <w:tblGrid>
        <w:gridCol w:w="5040"/>
        <w:gridCol w:w="5040"/>
      </w:tblGrid>
      <w:tr w14:paraId="DF6E2E78">
        <w:trPr>
          <w:jc w:val="center"/>
        </w:trPr>
        <w:tc>
          <w:tcPr>
            <w:tcW w:w="5040" w:type="dxa"/>
            <w:tcBorders/>
            <w:shd w:val="nil" w:color="auto" w:fill="d9eaf7"/>
            <w:vAlign w:val="center"/>
          </w:tcPr>
          <w:p w14:paraId="BF6E2D39">
            <w:pPr>
              <w:pStyle w:val="style0"/>
              <w:rPr>
                <w:color w:val="36363d"/>
              </w:rPr>
            </w:pPr>
            <w:r>
              <w:rPr>
                <w:rFonts w:ascii="Aptos" w:hAnsi="Aptos"/>
                <w:b/>
                <w:color w:val="36363d"/>
                <w:sz w:val="18"/>
              </w:rPr>
              <w:t>Should claim</w:t>
            </w:r>
          </w:p>
        </w:tc>
        <w:tc>
          <w:tcPr>
            <w:tcW w:w="5040" w:type="dxa"/>
            <w:tcBorders/>
            <w:shd w:val="nil" w:color="auto" w:fill="d9eaf7"/>
            <w:vAlign w:val="center"/>
          </w:tcPr>
          <w:p w14:paraId="A97C78BC">
            <w:pPr>
              <w:pStyle w:val="style0"/>
              <w:rPr>
                <w:color w:val="36363d"/>
              </w:rPr>
            </w:pPr>
            <w:r>
              <w:rPr>
                <w:rFonts w:ascii="Aptos" w:hAnsi="Aptos"/>
                <w:b/>
                <w:color w:val="36363d"/>
                <w:sz w:val="18"/>
              </w:rPr>
              <w:t>Should not claim</w:t>
            </w:r>
          </w:p>
        </w:tc>
      </w:tr>
      <w:tr w14:paraId="3046BDA8">
        <w:tblPrEx/>
        <w:trPr>
          <w:jc w:val="center"/>
        </w:trPr>
        <w:tc>
          <w:tcPr>
            <w:tcW w:w="5040" w:type="dxa"/>
            <w:tcBorders/>
            <w:vAlign w:val="center"/>
          </w:tcPr>
          <w:p w14:paraId="6FEA23C0">
            <w:pPr>
              <w:pStyle w:val="style0"/>
              <w:rPr>
                <w:color w:val="36363d"/>
              </w:rPr>
            </w:pPr>
            <w:r>
              <w:rPr>
                <w:rFonts w:ascii="Aptos" w:hAnsi="Aptos"/>
                <w:b w:val="false"/>
                <w:color w:val="36363d"/>
                <w:sz w:val="18"/>
              </w:rPr>
              <w:t>Identifies high-susceptibility locations</w:t>
            </w:r>
          </w:p>
        </w:tc>
        <w:tc>
          <w:tcPr>
            <w:tcW w:w="5040" w:type="dxa"/>
            <w:tcBorders/>
            <w:vAlign w:val="center"/>
          </w:tcPr>
          <w:p w14:paraId="FAB75A8E">
            <w:pPr>
              <w:pStyle w:val="style0"/>
              <w:rPr>
                <w:color w:val="36363d"/>
              </w:rPr>
            </w:pPr>
            <w:r>
              <w:rPr>
                <w:rFonts w:ascii="Aptos" w:hAnsi="Aptos"/>
                <w:b w:val="false"/>
                <w:color w:val="36363d"/>
                <w:sz w:val="18"/>
              </w:rPr>
              <w:t>Perfectly predicts the exact time of every landslide</w:t>
            </w:r>
          </w:p>
        </w:tc>
      </w:tr>
      <w:tr w14:paraId="12EA899E">
        <w:tblPrEx/>
        <w:trPr>
          <w:jc w:val="center"/>
        </w:trPr>
        <w:tc>
          <w:tcPr>
            <w:tcW w:w="5040" w:type="dxa"/>
            <w:tcBorders/>
            <w:vAlign w:val="center"/>
          </w:tcPr>
          <w:p w14:paraId="4F05FEF2">
            <w:pPr>
              <w:pStyle w:val="style0"/>
              <w:rPr>
                <w:color w:val="36363d"/>
              </w:rPr>
            </w:pPr>
            <w:r>
              <w:rPr>
                <w:rFonts w:ascii="Aptos" w:hAnsi="Aptos"/>
                <w:b w:val="false"/>
                <w:color w:val="36363d"/>
                <w:sz w:val="18"/>
              </w:rPr>
              <w:t>Detects satellite-observable deformation/change</w:t>
            </w:r>
          </w:p>
        </w:tc>
        <w:tc>
          <w:tcPr>
            <w:tcW w:w="5040" w:type="dxa"/>
            <w:tcBorders/>
            <w:vAlign w:val="center"/>
          </w:tcPr>
          <w:p w14:paraId="7838A759">
            <w:pPr>
              <w:pStyle w:val="style0"/>
              <w:rPr>
                <w:color w:val="36363d"/>
              </w:rPr>
            </w:pPr>
            <w:r>
              <w:rPr>
                <w:rFonts w:ascii="Aptos" w:hAnsi="Aptos"/>
                <w:b w:val="false"/>
                <w:color w:val="36363d"/>
                <w:sz w:val="18"/>
              </w:rPr>
              <w:t>Every detected change is a landslide precursor</w:t>
            </w:r>
          </w:p>
        </w:tc>
      </w:tr>
      <w:tr w14:paraId="58D2ED1B">
        <w:tblPrEx/>
        <w:trPr>
          <w:jc w:val="center"/>
        </w:trPr>
        <w:tc>
          <w:tcPr>
            <w:tcW w:w="5040" w:type="dxa"/>
            <w:tcBorders/>
            <w:vAlign w:val="center"/>
          </w:tcPr>
          <w:p w14:paraId="D03192BA">
            <w:pPr>
              <w:pStyle w:val="style0"/>
              <w:rPr>
                <w:color w:val="36363d"/>
              </w:rPr>
            </w:pPr>
            <w:r>
              <w:rPr>
                <w:rFonts w:ascii="Aptos" w:hAnsi="Aptos"/>
                <w:b w:val="false"/>
                <w:color w:val="36363d"/>
                <w:sz w:val="18"/>
              </w:rPr>
              <w:t>Provides dynamic hazard information</w:t>
            </w:r>
          </w:p>
        </w:tc>
        <w:tc>
          <w:tcPr>
            <w:tcW w:w="5040" w:type="dxa"/>
            <w:tcBorders/>
            <w:vAlign w:val="center"/>
          </w:tcPr>
          <w:p w14:paraId="BD4B1360">
            <w:pPr>
              <w:pStyle w:val="style0"/>
              <w:rPr>
                <w:color w:val="36363d"/>
              </w:rPr>
            </w:pPr>
            <w:r>
              <w:rPr>
                <w:rFonts w:ascii="Aptos" w:hAnsi="Aptos"/>
                <w:b w:val="false"/>
                <w:color w:val="36363d"/>
                <w:sz w:val="18"/>
              </w:rPr>
              <w:t>Satellite data alone can replace all field monitoring</w:t>
            </w:r>
          </w:p>
        </w:tc>
      </w:tr>
      <w:tr w14:paraId="0E3FE2FF">
        <w:tblPrEx/>
        <w:trPr>
          <w:jc w:val="center"/>
        </w:trPr>
        <w:tc>
          <w:tcPr>
            <w:tcW w:w="5040" w:type="dxa"/>
            <w:tcBorders/>
            <w:vAlign w:val="center"/>
          </w:tcPr>
          <w:p w14:paraId="E48C8529">
            <w:pPr>
              <w:pStyle w:val="style0"/>
              <w:rPr>
                <w:color w:val="36363d"/>
              </w:rPr>
            </w:pPr>
            <w:r>
              <w:rPr>
                <w:rFonts w:ascii="Aptos" w:hAnsi="Aptos"/>
                <w:b w:val="false"/>
                <w:color w:val="36363d"/>
                <w:sz w:val="18"/>
              </w:rPr>
              <w:t>Prioritises exposed communities and infrastructure</w:t>
            </w:r>
          </w:p>
        </w:tc>
        <w:tc>
          <w:tcPr>
            <w:tcW w:w="5040" w:type="dxa"/>
            <w:tcBorders/>
            <w:vAlign w:val="center"/>
          </w:tcPr>
          <w:p w14:paraId="200855DE">
            <w:pPr>
              <w:pStyle w:val="style0"/>
              <w:rPr>
                <w:color w:val="36363d"/>
              </w:rPr>
            </w:pPr>
            <w:r>
              <w:rPr>
                <w:rFonts w:ascii="Aptos" w:hAnsi="Aptos"/>
                <w:b w:val="false"/>
                <w:color w:val="36363d"/>
                <w:sz w:val="18"/>
              </w:rPr>
              <w:t>Every alert is guaranteed to result in a landslide</w:t>
            </w:r>
          </w:p>
        </w:tc>
      </w:tr>
    </w:tbl>
    <w:p w14:paraId="F84F222B">
      <w:pPr>
        <w:pStyle w:val="style2"/>
        <w:rPr>
          <w:color w:val="36363d"/>
        </w:rPr>
      </w:pPr>
      <w:r>
        <w:rPr>
          <w:color w:val="36363d"/>
        </w:rPr>
        <w:t xml:space="preserve"> Final SIH positioning</w:t>
      </w:r>
    </w:p>
    <w:p w14:paraId="F12DA03B">
      <w:pPr>
        <w:pStyle w:val="style0"/>
        <w:rPr>
          <w:color w:val="36363d"/>
        </w:rPr>
      </w:pPr>
      <w:r>
        <w:rPr>
          <w:color w:val="36363d"/>
        </w:rPr>
        <w:t>The proposed solution is best positioned as an AI-assisted, multi-source geospatial decision-support platform. Its differentiator is the fusion of satellite deformation, optical change, terrain susceptibility, rainfall, soil moisture, historical events and infrastructure exposure into an explainable risk workflow.</w:t>
      </w:r>
    </w:p>
    <w:p w14:paraId="A216150C">
      <w:pPr>
        <w:pStyle w:val="style0"/>
        <w:rPr>
          <w:color w:val="36363d"/>
        </w:rPr>
      </w:pPr>
      <w:r>
        <w:rPr>
          <w:color w:val="36363d"/>
        </w:rPr>
        <w:br w:type="page"/>
      </w:r>
    </w:p>
    <w:p w14:paraId="E36E0FD9">
      <w:pPr>
        <w:pStyle w:val="style1"/>
        <w:rPr>
          <w:color w:val="36363d"/>
        </w:rPr>
      </w:pPr>
      <w:r>
        <w:rPr>
          <w:color w:val="36363d"/>
        </w:rPr>
        <w:t>Technical Appendix — Dataset &amp; Feature Matrix</w:t>
      </w:r>
    </w:p>
    <w:tbl>
      <w:tblPr>
        <w:tblStyle w:val="style154"/>
        <w:tblW w:w="0" w:type="auto"/>
        <w:jc w:val="center"/>
        <w:tblLook w:val="04A0" w:firstRow="1" w:lastRow="0" w:firstColumn="1" w:lastColumn="0" w:noHBand="0" w:noVBand="1"/>
      </w:tblPr>
      <w:tblGrid>
        <w:gridCol w:w="2520"/>
        <w:gridCol w:w="2520"/>
        <w:gridCol w:w="2384"/>
        <w:gridCol w:w="2656"/>
      </w:tblGrid>
      <w:tr w14:paraId="A2CADDCB">
        <w:trPr>
          <w:jc w:val="center"/>
        </w:trPr>
        <w:tc>
          <w:tcPr>
            <w:tcW w:w="2520" w:type="dxa"/>
            <w:tcBorders/>
            <w:shd w:val="nil" w:color="auto" w:fill="d9eaf7"/>
            <w:vAlign w:val="center"/>
          </w:tcPr>
          <w:p w14:paraId="4C424150">
            <w:pPr>
              <w:pStyle w:val="style0"/>
              <w:rPr>
                <w:color w:val="36363d"/>
              </w:rPr>
            </w:pPr>
            <w:r>
              <w:rPr>
                <w:rFonts w:ascii="Aptos" w:hAnsi="Aptos"/>
                <w:b/>
                <w:color w:val="36363d"/>
                <w:sz w:val="18"/>
              </w:rPr>
              <w:t>Dataset / Source Type</w:t>
            </w:r>
          </w:p>
        </w:tc>
        <w:tc>
          <w:tcPr>
            <w:tcW w:w="2520" w:type="dxa"/>
            <w:tcBorders/>
            <w:shd w:val="nil" w:color="auto" w:fill="d9eaf7"/>
            <w:vAlign w:val="center"/>
          </w:tcPr>
          <w:p w14:paraId="110861B8">
            <w:pPr>
              <w:pStyle w:val="style0"/>
              <w:rPr>
                <w:color w:val="36363d"/>
              </w:rPr>
            </w:pPr>
            <w:r>
              <w:rPr>
                <w:rFonts w:ascii="Aptos" w:hAnsi="Aptos"/>
                <w:b/>
                <w:color w:val="36363d"/>
                <w:sz w:val="18"/>
              </w:rPr>
              <w:t>Variables</w:t>
            </w:r>
          </w:p>
        </w:tc>
        <w:tc>
          <w:tcPr>
            <w:tcW w:w="2384" w:type="dxa"/>
            <w:tcBorders/>
            <w:shd w:val="nil" w:color="auto" w:fill="d9eaf7"/>
            <w:vAlign w:val="center"/>
          </w:tcPr>
          <w:p w14:paraId="3D0A1C83">
            <w:pPr>
              <w:pStyle w:val="style0"/>
              <w:rPr>
                <w:color w:val="36363d"/>
              </w:rPr>
            </w:pPr>
            <w:r>
              <w:rPr>
                <w:rFonts w:ascii="Aptos" w:hAnsi="Aptos"/>
                <w:b/>
                <w:color w:val="36363d"/>
                <w:sz w:val="18"/>
              </w:rPr>
              <w:t>Role</w:t>
            </w:r>
          </w:p>
        </w:tc>
        <w:tc>
          <w:tcPr>
            <w:tcW w:w="2656" w:type="dxa"/>
            <w:tcBorders/>
            <w:shd w:val="nil" w:color="auto" w:fill="d9eaf7"/>
            <w:vAlign w:val="center"/>
          </w:tcPr>
          <w:p w14:paraId="D215AE0C">
            <w:pPr>
              <w:pStyle w:val="style0"/>
              <w:rPr>
                <w:color w:val="36363d"/>
              </w:rPr>
            </w:pPr>
            <w:r>
              <w:rPr>
                <w:rFonts w:ascii="Aptos" w:hAnsi="Aptos"/>
                <w:b/>
                <w:color w:val="36363d"/>
                <w:sz w:val="18"/>
              </w:rPr>
              <w:t>Spatial/Temporal Consideration</w:t>
            </w:r>
          </w:p>
        </w:tc>
      </w:tr>
      <w:tr w14:paraId="0233A8E0">
        <w:tblPrEx/>
        <w:trPr>
          <w:jc w:val="center"/>
        </w:trPr>
        <w:tc>
          <w:tcPr>
            <w:tcW w:w="2520" w:type="dxa"/>
            <w:tcBorders/>
            <w:vAlign w:val="center"/>
          </w:tcPr>
          <w:p w14:paraId="FB7F7ACD">
            <w:pPr>
              <w:pStyle w:val="style0"/>
              <w:rPr>
                <w:color w:val="36363d"/>
              </w:rPr>
            </w:pPr>
            <w:r>
              <w:rPr>
                <w:rFonts w:ascii="Aptos" w:hAnsi="Aptos"/>
                <w:b w:val="false"/>
                <w:color w:val="36363d"/>
                <w:sz w:val="18"/>
              </w:rPr>
              <w:t>Sentinel-1 SAR</w:t>
            </w:r>
          </w:p>
        </w:tc>
        <w:tc>
          <w:tcPr>
            <w:tcW w:w="2520" w:type="dxa"/>
            <w:tcBorders/>
            <w:vAlign w:val="center"/>
          </w:tcPr>
          <w:p w14:paraId="16AC9F67">
            <w:pPr>
              <w:pStyle w:val="style0"/>
              <w:rPr>
                <w:color w:val="36363d"/>
              </w:rPr>
            </w:pPr>
            <w:r>
              <w:rPr>
                <w:rFonts w:ascii="Aptos" w:hAnsi="Aptos"/>
                <w:b w:val="false"/>
                <w:color w:val="36363d"/>
                <w:sz w:val="18"/>
              </w:rPr>
              <w:t>Backscatter, coherence, interferometric phase</w:t>
            </w:r>
          </w:p>
        </w:tc>
        <w:tc>
          <w:tcPr>
            <w:tcW w:w="2384" w:type="dxa"/>
            <w:tcBorders/>
            <w:vAlign w:val="center"/>
          </w:tcPr>
          <w:p w14:paraId="CF8DB501">
            <w:pPr>
              <w:pStyle w:val="style0"/>
              <w:rPr>
                <w:color w:val="36363d"/>
              </w:rPr>
            </w:pPr>
            <w:r>
              <w:rPr>
                <w:rFonts w:ascii="Aptos" w:hAnsi="Aptos"/>
                <w:b w:val="false"/>
                <w:color w:val="36363d"/>
                <w:sz w:val="18"/>
              </w:rPr>
              <w:t>Deformation and radar change</w:t>
            </w:r>
          </w:p>
        </w:tc>
        <w:tc>
          <w:tcPr>
            <w:tcW w:w="2656" w:type="dxa"/>
            <w:tcBorders/>
            <w:vAlign w:val="center"/>
          </w:tcPr>
          <w:p w14:paraId="FCA251D0">
            <w:pPr>
              <w:pStyle w:val="style0"/>
              <w:rPr>
                <w:color w:val="36363d"/>
              </w:rPr>
            </w:pPr>
            <w:r>
              <w:rPr>
                <w:rFonts w:ascii="Aptos" w:hAnsi="Aptos"/>
                <w:b w:val="false"/>
                <w:color w:val="36363d"/>
                <w:sz w:val="18"/>
              </w:rPr>
              <w:t>Repeat observations; geometry/coherence matter</w:t>
            </w:r>
          </w:p>
        </w:tc>
      </w:tr>
      <w:tr w14:paraId="2039A02E">
        <w:tblPrEx/>
        <w:trPr>
          <w:jc w:val="center"/>
        </w:trPr>
        <w:tc>
          <w:tcPr>
            <w:tcW w:w="2520" w:type="dxa"/>
            <w:tcBorders/>
            <w:vAlign w:val="center"/>
          </w:tcPr>
          <w:p w14:paraId="240E196C">
            <w:pPr>
              <w:pStyle w:val="style0"/>
              <w:rPr>
                <w:color w:val="36363d"/>
              </w:rPr>
            </w:pPr>
            <w:r>
              <w:rPr>
                <w:rFonts w:ascii="Aptos" w:hAnsi="Aptos"/>
                <w:b w:val="false"/>
                <w:color w:val="36363d"/>
                <w:sz w:val="18"/>
              </w:rPr>
              <w:t>Sentinel-2</w:t>
            </w:r>
          </w:p>
        </w:tc>
        <w:tc>
          <w:tcPr>
            <w:tcW w:w="2520" w:type="dxa"/>
            <w:tcBorders/>
            <w:vAlign w:val="center"/>
          </w:tcPr>
          <w:p w14:paraId="732E001F">
            <w:pPr>
              <w:pStyle w:val="style0"/>
              <w:rPr>
                <w:color w:val="36363d"/>
              </w:rPr>
            </w:pPr>
            <w:r>
              <w:rPr>
                <w:rFonts w:ascii="Aptos" w:hAnsi="Aptos"/>
                <w:b w:val="false"/>
                <w:color w:val="36363d"/>
                <w:sz w:val="18"/>
              </w:rPr>
              <w:t>Visible, NIR, red-edge, SWIR</w:t>
            </w:r>
          </w:p>
        </w:tc>
        <w:tc>
          <w:tcPr>
            <w:tcW w:w="2384" w:type="dxa"/>
            <w:tcBorders/>
            <w:vAlign w:val="center"/>
          </w:tcPr>
          <w:p w14:paraId="C28F2C2F">
            <w:pPr>
              <w:pStyle w:val="style0"/>
              <w:rPr>
                <w:color w:val="36363d"/>
              </w:rPr>
            </w:pPr>
            <w:r>
              <w:rPr>
                <w:rFonts w:ascii="Aptos" w:hAnsi="Aptos"/>
                <w:b w:val="false"/>
                <w:color w:val="36363d"/>
                <w:sz w:val="18"/>
              </w:rPr>
              <w:t>Vegetation, land cover, surface change</w:t>
            </w:r>
          </w:p>
        </w:tc>
        <w:tc>
          <w:tcPr>
            <w:tcW w:w="2656" w:type="dxa"/>
            <w:tcBorders/>
            <w:vAlign w:val="center"/>
          </w:tcPr>
          <w:p w14:paraId="68526705">
            <w:pPr>
              <w:pStyle w:val="style0"/>
              <w:rPr>
                <w:color w:val="36363d"/>
              </w:rPr>
            </w:pPr>
            <w:r>
              <w:rPr>
                <w:rFonts w:ascii="Aptos" w:hAnsi="Aptos"/>
                <w:b w:val="false"/>
                <w:color w:val="36363d"/>
                <w:sz w:val="18"/>
              </w:rPr>
              <w:t>Cloud screening required</w:t>
            </w:r>
          </w:p>
        </w:tc>
      </w:tr>
      <w:tr w14:paraId="8C727BC1">
        <w:tblPrEx/>
        <w:trPr>
          <w:jc w:val="center"/>
        </w:trPr>
        <w:tc>
          <w:tcPr>
            <w:tcW w:w="2520" w:type="dxa"/>
            <w:tcBorders/>
            <w:vAlign w:val="center"/>
          </w:tcPr>
          <w:p w14:paraId="C08C804B">
            <w:pPr>
              <w:pStyle w:val="style0"/>
              <w:rPr>
                <w:color w:val="36363d"/>
              </w:rPr>
            </w:pPr>
            <w:r>
              <w:rPr>
                <w:rFonts w:ascii="Aptos" w:hAnsi="Aptos"/>
                <w:b w:val="false"/>
                <w:color w:val="36363d"/>
                <w:sz w:val="18"/>
              </w:rPr>
              <w:t>Landsat</w:t>
            </w:r>
          </w:p>
        </w:tc>
        <w:tc>
          <w:tcPr>
            <w:tcW w:w="2520" w:type="dxa"/>
            <w:tcBorders/>
            <w:vAlign w:val="center"/>
          </w:tcPr>
          <w:p w14:paraId="F73CCDF5">
            <w:pPr>
              <w:pStyle w:val="style0"/>
              <w:rPr>
                <w:color w:val="36363d"/>
              </w:rPr>
            </w:pPr>
            <w:r>
              <w:rPr>
                <w:rFonts w:ascii="Aptos" w:hAnsi="Aptos"/>
                <w:b w:val="false"/>
                <w:color w:val="36363d"/>
                <w:sz w:val="18"/>
              </w:rPr>
              <w:t>Multispectral/thermal bands</w:t>
            </w:r>
          </w:p>
        </w:tc>
        <w:tc>
          <w:tcPr>
            <w:tcW w:w="2384" w:type="dxa"/>
            <w:tcBorders/>
            <w:vAlign w:val="center"/>
          </w:tcPr>
          <w:p w14:paraId="40077A1A">
            <w:pPr>
              <w:pStyle w:val="style0"/>
              <w:rPr>
                <w:color w:val="36363d"/>
              </w:rPr>
            </w:pPr>
            <w:r>
              <w:rPr>
                <w:rFonts w:ascii="Aptos" w:hAnsi="Aptos"/>
                <w:b w:val="false"/>
                <w:color w:val="36363d"/>
                <w:sz w:val="18"/>
              </w:rPr>
              <w:t>Historical baseline</w:t>
            </w:r>
          </w:p>
        </w:tc>
        <w:tc>
          <w:tcPr>
            <w:tcW w:w="2656" w:type="dxa"/>
            <w:tcBorders/>
            <w:vAlign w:val="center"/>
          </w:tcPr>
          <w:p w14:paraId="94EC9A23">
            <w:pPr>
              <w:pStyle w:val="style0"/>
              <w:rPr>
                <w:color w:val="36363d"/>
              </w:rPr>
            </w:pPr>
            <w:r>
              <w:rPr>
                <w:rFonts w:ascii="Aptos" w:hAnsi="Aptos"/>
                <w:b w:val="false"/>
                <w:color w:val="36363d"/>
                <w:sz w:val="18"/>
              </w:rPr>
              <w:t>Long-term record; coarser than some modern optical products</w:t>
            </w:r>
          </w:p>
        </w:tc>
      </w:tr>
      <w:tr w14:paraId="6F33AF19">
        <w:tblPrEx/>
        <w:trPr>
          <w:jc w:val="center"/>
        </w:trPr>
        <w:tc>
          <w:tcPr>
            <w:tcW w:w="2520" w:type="dxa"/>
            <w:tcBorders/>
            <w:vAlign w:val="center"/>
          </w:tcPr>
          <w:p w14:paraId="5CE22617">
            <w:pPr>
              <w:pStyle w:val="style0"/>
              <w:rPr>
                <w:color w:val="36363d"/>
              </w:rPr>
            </w:pPr>
            <w:r>
              <w:rPr>
                <w:rFonts w:ascii="Aptos" w:hAnsi="Aptos"/>
                <w:b w:val="false"/>
                <w:color w:val="36363d"/>
                <w:sz w:val="18"/>
              </w:rPr>
              <w:t>SRTM / DEM</w:t>
            </w:r>
          </w:p>
        </w:tc>
        <w:tc>
          <w:tcPr>
            <w:tcW w:w="2520" w:type="dxa"/>
            <w:tcBorders/>
            <w:vAlign w:val="center"/>
          </w:tcPr>
          <w:p w14:paraId="F5167D21">
            <w:pPr>
              <w:pStyle w:val="style0"/>
              <w:rPr>
                <w:color w:val="36363d"/>
              </w:rPr>
            </w:pPr>
            <w:r>
              <w:rPr>
                <w:rFonts w:ascii="Aptos" w:hAnsi="Aptos"/>
                <w:b w:val="false"/>
                <w:color w:val="36363d"/>
                <w:sz w:val="18"/>
              </w:rPr>
              <w:t>Elevation</w:t>
            </w:r>
          </w:p>
        </w:tc>
        <w:tc>
          <w:tcPr>
            <w:tcW w:w="2384" w:type="dxa"/>
            <w:tcBorders/>
            <w:vAlign w:val="center"/>
          </w:tcPr>
          <w:p w14:paraId="3BCFA51E">
            <w:pPr>
              <w:pStyle w:val="style0"/>
              <w:rPr>
                <w:color w:val="36363d"/>
              </w:rPr>
            </w:pPr>
            <w:r>
              <w:rPr>
                <w:rFonts w:ascii="Aptos" w:hAnsi="Aptos"/>
                <w:b w:val="false"/>
                <w:color w:val="36363d"/>
                <w:sz w:val="18"/>
              </w:rPr>
              <w:t>Slope/aspect/terrain</w:t>
            </w:r>
          </w:p>
        </w:tc>
        <w:tc>
          <w:tcPr>
            <w:tcW w:w="2656" w:type="dxa"/>
            <w:tcBorders/>
            <w:vAlign w:val="center"/>
          </w:tcPr>
          <w:p w14:paraId="F74DA1F9">
            <w:pPr>
              <w:pStyle w:val="style0"/>
              <w:rPr>
                <w:color w:val="36363d"/>
              </w:rPr>
            </w:pPr>
            <w:r>
              <w:rPr>
                <w:rFonts w:ascii="Aptos" w:hAnsi="Aptos"/>
                <w:b w:val="false"/>
                <w:color w:val="36363d"/>
                <w:sz w:val="18"/>
              </w:rPr>
              <w:t>Static terrain layer</w:t>
            </w:r>
          </w:p>
        </w:tc>
      </w:tr>
      <w:tr w14:paraId="23D80168">
        <w:tblPrEx/>
        <w:trPr>
          <w:jc w:val="center"/>
        </w:trPr>
        <w:tc>
          <w:tcPr>
            <w:tcW w:w="2520" w:type="dxa"/>
            <w:tcBorders/>
            <w:vAlign w:val="center"/>
          </w:tcPr>
          <w:p w14:paraId="15564338">
            <w:pPr>
              <w:pStyle w:val="style0"/>
              <w:rPr>
                <w:color w:val="36363d"/>
              </w:rPr>
            </w:pPr>
            <w:r>
              <w:rPr>
                <w:rFonts w:ascii="Aptos" w:hAnsi="Aptos"/>
                <w:b w:val="false"/>
                <w:color w:val="36363d"/>
                <w:sz w:val="18"/>
              </w:rPr>
              <w:t>Bhuvan/CartoDEM</w:t>
            </w:r>
          </w:p>
        </w:tc>
        <w:tc>
          <w:tcPr>
            <w:tcW w:w="2520" w:type="dxa"/>
            <w:tcBorders/>
            <w:vAlign w:val="center"/>
          </w:tcPr>
          <w:p w14:paraId="87AE6FCD">
            <w:pPr>
              <w:pStyle w:val="style0"/>
              <w:rPr>
                <w:color w:val="36363d"/>
              </w:rPr>
            </w:pPr>
            <w:r>
              <w:rPr>
                <w:rFonts w:ascii="Aptos" w:hAnsi="Aptos"/>
                <w:b w:val="false"/>
                <w:color w:val="36363d"/>
                <w:sz w:val="18"/>
              </w:rPr>
              <w:t>Indian elevation products</w:t>
            </w:r>
          </w:p>
        </w:tc>
        <w:tc>
          <w:tcPr>
            <w:tcW w:w="2384" w:type="dxa"/>
            <w:tcBorders/>
            <w:vAlign w:val="center"/>
          </w:tcPr>
          <w:p w14:paraId="03E7A489">
            <w:pPr>
              <w:pStyle w:val="style0"/>
              <w:rPr>
                <w:color w:val="36363d"/>
              </w:rPr>
            </w:pPr>
            <w:r>
              <w:rPr>
                <w:rFonts w:ascii="Aptos" w:hAnsi="Aptos"/>
                <w:b w:val="false"/>
                <w:color w:val="36363d"/>
                <w:sz w:val="18"/>
              </w:rPr>
              <w:t>Higher-context terrain analysis</w:t>
            </w:r>
          </w:p>
        </w:tc>
        <w:tc>
          <w:tcPr>
            <w:tcW w:w="2656" w:type="dxa"/>
            <w:tcBorders/>
            <w:vAlign w:val="center"/>
          </w:tcPr>
          <w:p w14:paraId="F975D152">
            <w:pPr>
              <w:pStyle w:val="style0"/>
              <w:rPr>
                <w:color w:val="36363d"/>
              </w:rPr>
            </w:pPr>
            <w:r>
              <w:rPr>
                <w:rFonts w:ascii="Aptos" w:hAnsi="Aptos"/>
                <w:b w:val="false"/>
                <w:color w:val="36363d"/>
                <w:sz w:val="18"/>
              </w:rPr>
              <w:t>Availability/resolution depend on product</w:t>
            </w:r>
          </w:p>
        </w:tc>
      </w:tr>
      <w:tr w14:paraId="D1872333">
        <w:tblPrEx/>
        <w:trPr>
          <w:jc w:val="center"/>
        </w:trPr>
        <w:tc>
          <w:tcPr>
            <w:tcW w:w="2520" w:type="dxa"/>
            <w:tcBorders/>
            <w:vAlign w:val="center"/>
          </w:tcPr>
          <w:p w14:paraId="3D986CE3">
            <w:pPr>
              <w:pStyle w:val="style0"/>
              <w:rPr>
                <w:color w:val="36363d"/>
              </w:rPr>
            </w:pPr>
            <w:r>
              <w:rPr>
                <w:rFonts w:ascii="Aptos" w:hAnsi="Aptos"/>
                <w:b w:val="false"/>
                <w:color w:val="36363d"/>
                <w:sz w:val="18"/>
              </w:rPr>
              <w:t>GPM/IMERG</w:t>
            </w:r>
          </w:p>
        </w:tc>
        <w:tc>
          <w:tcPr>
            <w:tcW w:w="2520" w:type="dxa"/>
            <w:tcBorders/>
            <w:vAlign w:val="center"/>
          </w:tcPr>
          <w:p w14:paraId="A8ECD97D">
            <w:pPr>
              <w:pStyle w:val="style0"/>
              <w:rPr>
                <w:color w:val="36363d"/>
              </w:rPr>
            </w:pPr>
            <w:r>
              <w:rPr>
                <w:rFonts w:ascii="Aptos" w:hAnsi="Aptos"/>
                <w:b w:val="false"/>
                <w:color w:val="36363d"/>
                <w:sz w:val="18"/>
              </w:rPr>
              <w:t>Precipitation</w:t>
            </w:r>
          </w:p>
        </w:tc>
        <w:tc>
          <w:tcPr>
            <w:tcW w:w="2384" w:type="dxa"/>
            <w:tcBorders/>
            <w:vAlign w:val="center"/>
          </w:tcPr>
          <w:p w14:paraId="07171E0E">
            <w:pPr>
              <w:pStyle w:val="style0"/>
              <w:rPr>
                <w:color w:val="36363d"/>
              </w:rPr>
            </w:pPr>
            <w:r>
              <w:rPr>
                <w:rFonts w:ascii="Aptos" w:hAnsi="Aptos"/>
                <w:b w:val="false"/>
                <w:color w:val="36363d"/>
                <w:sz w:val="18"/>
              </w:rPr>
              <w:t>Trigger and accumulation features</w:t>
            </w:r>
          </w:p>
        </w:tc>
        <w:tc>
          <w:tcPr>
            <w:tcW w:w="2656" w:type="dxa"/>
            <w:tcBorders/>
            <w:vAlign w:val="center"/>
          </w:tcPr>
          <w:p w14:paraId="9A9115DA">
            <w:pPr>
              <w:pStyle w:val="style0"/>
              <w:rPr>
                <w:color w:val="36363d"/>
              </w:rPr>
            </w:pPr>
            <w:r>
              <w:rPr>
                <w:rFonts w:ascii="Aptos" w:hAnsi="Aptos"/>
                <w:b w:val="false"/>
                <w:color w:val="36363d"/>
                <w:sz w:val="18"/>
              </w:rPr>
              <w:t>Regional precipitation estimate</w:t>
            </w:r>
          </w:p>
        </w:tc>
      </w:tr>
      <w:tr w14:paraId="934D9325">
        <w:tblPrEx/>
        <w:trPr>
          <w:jc w:val="center"/>
        </w:trPr>
        <w:tc>
          <w:tcPr>
            <w:tcW w:w="2520" w:type="dxa"/>
            <w:tcBorders/>
            <w:vAlign w:val="center"/>
          </w:tcPr>
          <w:p w14:paraId="64046DC0">
            <w:pPr>
              <w:pStyle w:val="style0"/>
              <w:rPr>
                <w:color w:val="36363d"/>
              </w:rPr>
            </w:pPr>
            <w:r>
              <w:rPr>
                <w:rFonts w:ascii="Aptos" w:hAnsi="Aptos"/>
                <w:b w:val="false"/>
                <w:color w:val="36363d"/>
                <w:sz w:val="18"/>
              </w:rPr>
              <w:t>Soil moisture</w:t>
            </w:r>
          </w:p>
        </w:tc>
        <w:tc>
          <w:tcPr>
            <w:tcW w:w="2520" w:type="dxa"/>
            <w:tcBorders/>
            <w:vAlign w:val="center"/>
          </w:tcPr>
          <w:p w14:paraId="61ED1CCC">
            <w:pPr>
              <w:pStyle w:val="style0"/>
              <w:rPr>
                <w:color w:val="36363d"/>
              </w:rPr>
            </w:pPr>
            <w:r>
              <w:rPr>
                <w:rFonts w:ascii="Aptos" w:hAnsi="Aptos"/>
                <w:b w:val="false"/>
                <w:color w:val="36363d"/>
                <w:sz w:val="18"/>
              </w:rPr>
              <w:t>Surface wetness/moisture</w:t>
            </w:r>
          </w:p>
        </w:tc>
        <w:tc>
          <w:tcPr>
            <w:tcW w:w="2384" w:type="dxa"/>
            <w:tcBorders/>
            <w:vAlign w:val="center"/>
          </w:tcPr>
          <w:p w14:paraId="9B467380">
            <w:pPr>
              <w:pStyle w:val="style0"/>
              <w:rPr>
                <w:color w:val="36363d"/>
              </w:rPr>
            </w:pPr>
            <w:r>
              <w:rPr>
                <w:rFonts w:ascii="Aptos" w:hAnsi="Aptos"/>
                <w:b w:val="false"/>
                <w:color w:val="36363d"/>
                <w:sz w:val="18"/>
              </w:rPr>
              <w:t>Dynamic wetness context</w:t>
            </w:r>
          </w:p>
        </w:tc>
        <w:tc>
          <w:tcPr>
            <w:tcW w:w="2656" w:type="dxa"/>
            <w:tcBorders/>
            <w:vAlign w:val="center"/>
          </w:tcPr>
          <w:p w14:paraId="94BB0FB1">
            <w:pPr>
              <w:pStyle w:val="style0"/>
              <w:rPr>
                <w:color w:val="36363d"/>
              </w:rPr>
            </w:pPr>
            <w:r>
              <w:rPr>
                <w:rFonts w:ascii="Aptos" w:hAnsi="Aptos"/>
                <w:b w:val="false"/>
                <w:color w:val="36363d"/>
                <w:sz w:val="18"/>
              </w:rPr>
              <w:t>Often coarse relative to individual slopes</w:t>
            </w:r>
          </w:p>
        </w:tc>
      </w:tr>
      <w:tr w14:paraId="B0ECAE76">
        <w:tblPrEx/>
        <w:trPr>
          <w:jc w:val="center"/>
        </w:trPr>
        <w:tc>
          <w:tcPr>
            <w:tcW w:w="2520" w:type="dxa"/>
            <w:tcBorders/>
            <w:vAlign w:val="center"/>
          </w:tcPr>
          <w:p w14:paraId="E6B9689B">
            <w:pPr>
              <w:pStyle w:val="style0"/>
              <w:rPr>
                <w:color w:val="36363d"/>
              </w:rPr>
            </w:pPr>
            <w:r>
              <w:rPr>
                <w:rFonts w:ascii="Aptos" w:hAnsi="Aptos"/>
                <w:b w:val="false"/>
                <w:color w:val="36363d"/>
                <w:sz w:val="18"/>
              </w:rPr>
              <w:t>Historical landslide inventory</w:t>
            </w:r>
          </w:p>
        </w:tc>
        <w:tc>
          <w:tcPr>
            <w:tcW w:w="2520" w:type="dxa"/>
            <w:tcBorders/>
            <w:vAlign w:val="center"/>
          </w:tcPr>
          <w:p w14:paraId="236032ED">
            <w:pPr>
              <w:pStyle w:val="style0"/>
              <w:rPr>
                <w:color w:val="36363d"/>
              </w:rPr>
            </w:pPr>
            <w:r>
              <w:rPr>
                <w:rFonts w:ascii="Aptos" w:hAnsi="Aptos"/>
                <w:b w:val="false"/>
                <w:color w:val="36363d"/>
                <w:sz w:val="18"/>
              </w:rPr>
              <w:t>Location/date/event attributes</w:t>
            </w:r>
          </w:p>
        </w:tc>
        <w:tc>
          <w:tcPr>
            <w:tcW w:w="2384" w:type="dxa"/>
            <w:tcBorders/>
            <w:vAlign w:val="center"/>
          </w:tcPr>
          <w:p w14:paraId="C267188B">
            <w:pPr>
              <w:pStyle w:val="style0"/>
              <w:rPr>
                <w:color w:val="36363d"/>
              </w:rPr>
            </w:pPr>
            <w:r>
              <w:rPr>
                <w:rFonts w:ascii="Aptos" w:hAnsi="Aptos"/>
                <w:b w:val="false"/>
                <w:color w:val="36363d"/>
                <w:sz w:val="18"/>
              </w:rPr>
              <w:t>Training and validation</w:t>
            </w:r>
          </w:p>
        </w:tc>
        <w:tc>
          <w:tcPr>
            <w:tcW w:w="2656" w:type="dxa"/>
            <w:tcBorders/>
            <w:vAlign w:val="center"/>
          </w:tcPr>
          <w:p w14:paraId="BFFDC625">
            <w:pPr>
              <w:pStyle w:val="style0"/>
              <w:rPr>
                <w:color w:val="36363d"/>
              </w:rPr>
            </w:pPr>
            <w:r>
              <w:rPr>
                <w:rFonts w:ascii="Aptos" w:hAnsi="Aptos"/>
                <w:b w:val="false"/>
                <w:color w:val="36363d"/>
                <w:sz w:val="18"/>
              </w:rPr>
              <w:t>Quality and reporting bias must be assessed</w:t>
            </w:r>
          </w:p>
        </w:tc>
      </w:tr>
      <w:tr w14:paraId="644D7B22">
        <w:tblPrEx/>
        <w:trPr>
          <w:jc w:val="center"/>
        </w:trPr>
        <w:tc>
          <w:tcPr>
            <w:tcW w:w="2520" w:type="dxa"/>
            <w:tcBorders/>
            <w:vAlign w:val="center"/>
          </w:tcPr>
          <w:p w14:paraId="B4D661F8">
            <w:pPr>
              <w:pStyle w:val="style0"/>
              <w:rPr>
                <w:color w:val="36363d"/>
              </w:rPr>
            </w:pPr>
            <w:r>
              <w:rPr>
                <w:rFonts w:ascii="Aptos" w:hAnsi="Aptos"/>
                <w:b w:val="false"/>
                <w:color w:val="36363d"/>
                <w:sz w:val="18"/>
              </w:rPr>
              <w:t>Road/building/facility GIS</w:t>
            </w:r>
          </w:p>
        </w:tc>
        <w:tc>
          <w:tcPr>
            <w:tcW w:w="2520" w:type="dxa"/>
            <w:tcBorders/>
            <w:vAlign w:val="center"/>
          </w:tcPr>
          <w:p w14:paraId="15EB2E3E">
            <w:pPr>
              <w:pStyle w:val="style0"/>
              <w:rPr>
                <w:color w:val="36363d"/>
              </w:rPr>
            </w:pPr>
            <w:r>
              <w:rPr>
                <w:rFonts w:ascii="Aptos" w:hAnsi="Aptos"/>
                <w:b w:val="false"/>
                <w:color w:val="36363d"/>
                <w:sz w:val="18"/>
              </w:rPr>
              <w:t>Geometry and attributes</w:t>
            </w:r>
          </w:p>
        </w:tc>
        <w:tc>
          <w:tcPr>
            <w:tcW w:w="2384" w:type="dxa"/>
            <w:tcBorders/>
            <w:vAlign w:val="center"/>
          </w:tcPr>
          <w:p w14:paraId="0EA8AAEC">
            <w:pPr>
              <w:pStyle w:val="style0"/>
              <w:rPr>
                <w:color w:val="36363d"/>
              </w:rPr>
            </w:pPr>
            <w:r>
              <w:rPr>
                <w:rFonts w:ascii="Aptos" w:hAnsi="Aptos"/>
                <w:b w:val="false"/>
                <w:color w:val="36363d"/>
                <w:sz w:val="18"/>
              </w:rPr>
              <w:t>Exposure analysis</w:t>
            </w:r>
          </w:p>
        </w:tc>
        <w:tc>
          <w:tcPr>
            <w:tcW w:w="2656" w:type="dxa"/>
            <w:tcBorders/>
            <w:vAlign w:val="center"/>
          </w:tcPr>
          <w:p w14:paraId="9057D93E">
            <w:pPr>
              <w:pStyle w:val="style0"/>
              <w:rPr>
                <w:color w:val="36363d"/>
              </w:rPr>
            </w:pPr>
            <w:r>
              <w:rPr>
                <w:rFonts w:ascii="Aptos" w:hAnsi="Aptos"/>
                <w:b w:val="false"/>
                <w:color w:val="36363d"/>
                <w:sz w:val="18"/>
              </w:rPr>
              <w:t>Update frequency matters</w:t>
            </w:r>
          </w:p>
        </w:tc>
      </w:tr>
    </w:tbl>
    <w:p w14:paraId="0A6E39B6">
      <w:pPr>
        <w:pStyle w:val="style0"/>
        <w:ind w:left="288" w:right="288"/>
        <w:rPr>
          <w:color w:val="36363d"/>
        </w:rPr>
      </w:pPr>
    </w:p>
    <w:p w14:paraId="7C471348">
      <w:pPr>
        <w:pStyle w:val="style2"/>
        <w:rPr>
          <w:color w:val="36363d"/>
        </w:rPr>
      </w:pPr>
      <w:r>
        <w:rPr>
          <w:color w:val="36363d"/>
        </w:rPr>
        <w:t>Implementation Roadmap</w:t>
      </w:r>
    </w:p>
    <w:p w14:paraId="CAB4209E">
      <w:pPr>
        <w:pStyle w:val="style49"/>
        <w:spacing w:after="40"/>
        <w:rPr>
          <w:color w:val="36363d"/>
        </w:rPr>
      </w:pPr>
      <w:r>
        <w:rPr>
          <w:color w:val="36363d"/>
        </w:rPr>
        <w:t>Select one pilot region and define a fixed spatial grid or analysis unit.</w:t>
      </w:r>
    </w:p>
    <w:p w14:paraId="F6810E86">
      <w:pPr>
        <w:pStyle w:val="style49"/>
        <w:spacing w:after="40"/>
        <w:rPr>
          <w:color w:val="36363d"/>
        </w:rPr>
      </w:pPr>
      <w:r>
        <w:rPr>
          <w:color w:val="36363d"/>
        </w:rPr>
        <w:t>Collect and standardise historical landslide events.</w:t>
      </w:r>
    </w:p>
    <w:p w14:paraId="FF5DC6C6">
      <w:pPr>
        <w:pStyle w:val="style49"/>
        <w:spacing w:after="40"/>
        <w:rPr>
          <w:color w:val="36363d"/>
        </w:rPr>
      </w:pPr>
      <w:r>
        <w:rPr>
          <w:color w:val="36363d"/>
        </w:rPr>
        <w:t>Acquire DEM, Sentinel-1, Sentinel-2 and rainfall datasets.</w:t>
      </w:r>
    </w:p>
    <w:p w14:paraId="32C892BA">
      <w:pPr>
        <w:pStyle w:val="style49"/>
        <w:spacing w:after="40"/>
        <w:rPr>
          <w:color w:val="36363d"/>
        </w:rPr>
      </w:pPr>
      <w:r>
        <w:rPr>
          <w:color w:val="36363d"/>
        </w:rPr>
        <w:t>Generate terrain derivatives and satellite indices.</w:t>
      </w:r>
    </w:p>
    <w:p w14:paraId="07315261">
      <w:pPr>
        <w:pStyle w:val="style49"/>
        <w:spacing w:after="40"/>
        <w:rPr>
          <w:color w:val="36363d"/>
        </w:rPr>
      </w:pPr>
      <w:r>
        <w:rPr>
          <w:color w:val="36363d"/>
        </w:rPr>
        <w:t>Build the baseline susceptibility model.</w:t>
      </w:r>
    </w:p>
    <w:p w14:paraId="963CAFB9">
      <w:pPr>
        <w:pStyle w:val="style49"/>
        <w:spacing w:after="40"/>
        <w:rPr>
          <w:color w:val="36363d"/>
        </w:rPr>
      </w:pPr>
      <w:r>
        <w:rPr>
          <w:color w:val="36363d"/>
        </w:rPr>
        <w:t>Add dynamic rainfall and soil-moisture features.</w:t>
      </w:r>
    </w:p>
    <w:p w14:paraId="EF263AAA">
      <w:pPr>
        <w:pStyle w:val="style49"/>
        <w:spacing w:after="40"/>
        <w:rPr>
          <w:color w:val="36363d"/>
        </w:rPr>
      </w:pPr>
      <w:r>
        <w:rPr>
          <w:color w:val="36363d"/>
        </w:rPr>
        <w:t>Implement Sentinel-1 deformation/change monitoring where feasible.</w:t>
      </w:r>
    </w:p>
    <w:p w14:paraId="91ADE940">
      <w:pPr>
        <w:pStyle w:val="style49"/>
        <w:spacing w:after="40"/>
        <w:rPr>
          <w:color w:val="36363d"/>
        </w:rPr>
      </w:pPr>
      <w:r>
        <w:rPr>
          <w:color w:val="36363d"/>
        </w:rPr>
        <w:t>Add infrastructure exposure and affected-population analysis.</w:t>
      </w:r>
    </w:p>
    <w:p w14:paraId="8C81B280">
      <w:pPr>
        <w:pStyle w:val="style49"/>
        <w:spacing w:after="40"/>
        <w:rPr>
          <w:color w:val="36363d"/>
        </w:rPr>
      </w:pPr>
      <w:r>
        <w:rPr>
          <w:color w:val="36363d"/>
        </w:rPr>
        <w:t>Train and validate the AI/ML model using strict spatial/temporal splits.</w:t>
      </w:r>
    </w:p>
    <w:p w14:paraId="61588C59">
      <w:pPr>
        <w:pStyle w:val="style49"/>
        <w:spacing w:after="40"/>
        <w:rPr>
          <w:color w:val="36363d"/>
        </w:rPr>
      </w:pPr>
      <w:r>
        <w:rPr>
          <w:color w:val="36363d"/>
        </w:rPr>
        <w:t>Build the WebGIS dashboard and explainable alert engine.</w:t>
      </w:r>
    </w:p>
    <w:p w14:paraId="E36C8279">
      <w:pPr>
        <w:pStyle w:val="style49"/>
        <w:spacing w:after="40"/>
        <w:rPr>
          <w:color w:val="36363d"/>
        </w:rPr>
      </w:pPr>
      <w:r>
        <w:rPr>
          <w:color w:val="36363d"/>
        </w:rPr>
        <w:t>Run retrospective testing on known landslide events.</w:t>
      </w:r>
    </w:p>
    <w:p w14:paraId="420D20EC">
      <w:pPr>
        <w:pStyle w:val="style49"/>
        <w:spacing w:after="40"/>
        <w:rPr>
          <w:color w:val="36363d"/>
        </w:rPr>
      </w:pPr>
      <w:r>
        <w:rPr>
          <w:color w:val="36363d"/>
        </w:rPr>
        <w:t>Conduct field verification and calibrate thresholds before operational deployment.</w:t>
      </w:r>
    </w:p>
    <w:p w14:paraId="C05A5595">
      <w:pPr>
        <w:pStyle w:val="style1"/>
        <w:rPr>
          <w:color w:val="36363d"/>
        </w:rPr>
      </w:pPr>
      <w:r>
        <w:rPr>
          <w:color w:val="36363d"/>
        </w:rPr>
        <w:t>Key References / Official Data Portals</w:t>
      </w:r>
    </w:p>
    <w:p w14:paraId="6678963F">
      <w:pPr>
        <w:pStyle w:val="style48"/>
        <w:spacing w:after="40"/>
        <w:rPr>
          <w:color w:val="36363d"/>
        </w:rPr>
      </w:pPr>
      <w:r>
        <w:rPr>
          <w:color w:val="36363d"/>
        </w:rPr>
        <w:t>European Space Agency (ESA) — Copernicus Sentinel-1 mission documentation.</w:t>
      </w:r>
    </w:p>
    <w:p w14:paraId="B90EDF94">
      <w:pPr>
        <w:pStyle w:val="style48"/>
        <w:spacing w:after="40"/>
        <w:rPr>
          <w:color w:val="36363d"/>
        </w:rPr>
      </w:pPr>
      <w:r>
        <w:rPr>
          <w:color w:val="36363d"/>
        </w:rPr>
        <w:t>European Space Agency (ESA) — Copernicus Sentinel-2 mission and instrument documentation.</w:t>
      </w:r>
    </w:p>
    <w:p w14:paraId="1DA7EA90">
      <w:pPr>
        <w:pStyle w:val="style48"/>
        <w:spacing w:after="40"/>
        <w:rPr>
          <w:color w:val="36363d"/>
        </w:rPr>
      </w:pPr>
      <w:r>
        <w:rPr>
          <w:color w:val="36363d"/>
        </w:rPr>
        <w:t>U.S. Geological Survey (USGS) — Landsat mission and Landsat 8/9 documentation.</w:t>
      </w:r>
    </w:p>
    <w:p w14:paraId="07ABF5F3">
      <w:pPr>
        <w:pStyle w:val="style48"/>
        <w:spacing w:after="40"/>
        <w:rPr>
          <w:color w:val="36363d"/>
        </w:rPr>
      </w:pPr>
      <w:r>
        <w:rPr>
          <w:color w:val="36363d"/>
        </w:rPr>
        <w:t>NASA Earthdata — SRTM/DEM resources and geospatial data services.</w:t>
      </w:r>
    </w:p>
    <w:p w14:paraId="45A3907E">
      <w:pPr>
        <w:pStyle w:val="style48"/>
        <w:spacing w:after="40"/>
        <w:rPr>
          <w:color w:val="36363d"/>
        </w:rPr>
      </w:pPr>
      <w:r>
        <w:rPr>
          <w:color w:val="36363d"/>
        </w:rPr>
        <w:t>NASA Global Precipitation Measurement (GPM) — IMERG precipitation products.</w:t>
      </w:r>
    </w:p>
    <w:p w14:paraId="B7A6AD55">
      <w:pPr>
        <w:pStyle w:val="style48"/>
        <w:spacing w:after="40"/>
        <w:rPr>
          <w:color w:val="36363d"/>
        </w:rPr>
      </w:pPr>
      <w:r>
        <w:rPr>
          <w:color w:val="36363d"/>
        </w:rPr>
        <w:t>NASA Earthdata — SMAP soil-moisture products.</w:t>
      </w:r>
    </w:p>
    <w:p w14:paraId="E5D33CF8">
      <w:pPr>
        <w:pStyle w:val="style48"/>
        <w:spacing w:after="40"/>
        <w:rPr>
          <w:color w:val="36363d"/>
        </w:rPr>
      </w:pPr>
      <w:r>
        <w:rPr>
          <w:color w:val="36363d"/>
        </w:rPr>
        <w:t>ISRO/NRSC Bhuvan — Indian geospatial and CartoDEM resources.</w:t>
      </w:r>
    </w:p>
    <w:p w14:paraId="F46B1B49">
      <w:pPr>
        <w:pStyle w:val="style48"/>
        <w:spacing w:after="40"/>
        <w:rPr>
          <w:color w:val="36363d"/>
        </w:rPr>
      </w:pPr>
      <w:r>
        <w:rPr>
          <w:color w:val="36363d"/>
        </w:rPr>
        <w:t>NASA Global Landslide Catalog — historical rainfall-triggered landslide event information.</w:t>
      </w:r>
    </w:p>
    <w:p w14:paraId="F30D80D8">
      <w:pPr>
        <w:pStyle w:val="style4116"/>
        <w:rPr>
          <w:color w:val="36363d"/>
        </w:rPr>
      </w:pPr>
      <w:r>
        <w:rPr>
          <w:color w:val="36363d"/>
        </w:rPr>
        <w:t>Note: Dataset availability, product versions, spatial resolution and access policies can change. For the final SIH submission, cite the exact product/version and acquisition date used in the prototype.</w:t>
      </w:r>
    </w:p>
    <w:sectPr>
      <w:headerReference w:type="default" r:id="rId2"/>
      <w:footerReference w:type="default" r:id="rId3"/>
      <w:pgSz w:w="12240" w:h="15840" w:orient="portrait"/>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 w:name="Aptos">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7a"/>
    <w:family w:val="auto"/>
    <w:pitch w:val="default"/>
    <w:sig w:usb0="00000003" w:usb1="080E0000" w:usb2="00000000" w:usb3="00000000" w:csb0="00040001"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CB72DA04">
    <w:pPr>
      <w:pStyle w:val="style32"/>
      <w:jc w:val="center"/>
      <w:rPr/>
    </w:pPr>
    <w:r>
      <w:rPr>
        <w:sz w:val="15"/>
      </w:rPr>
      <w:t>Technical Research &amp; System Design</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BF271D6">
    <w:pPr>
      <w:pStyle w:val="style31"/>
      <w:jc w:val="center"/>
      <w:rPr/>
    </w:pPr>
    <w:r>
      <w:rPr>
        <w:sz w:val="15"/>
      </w:rPr>
      <w:t>SMART INDIA HACKATHON | SATELLITE &amp; GIS TECHNOLOGY FOR LANDSLIDE MONITORING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ptos" w:hAnsi="Aptos"/>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d9685108-c6bf-4320-944e-4cc24b07f701"/>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4125d8a9-23ee-4e68-8b74-91a6749b4c48"/>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36"/>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8"/>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sz w:val="23"/>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e8db3d54-e65e-4b6e-a1a2-fed7f8059be4"/>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5dc42860-1706-4a76-890c-9bf66a994f94"/>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204e6aae-b187-4c23-b925-42ba8d9c1330"/>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b/>
      <w:color w:val="17365d"/>
      <w:spacing w:val="5"/>
      <w:kern w:val="28"/>
      <w:sz w:val="48"/>
      <w:szCs w:val="52"/>
    </w:rPr>
  </w:style>
  <w:style w:type="character" w:customStyle="1" w:styleId="style4102">
    <w:name w:val="Title Char_3bc5b28d-2f61-4763-9401-f2bcf9c25777"/>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00269ad3-266f-4f69-900c-7c8a1c02a418"/>
    <w:basedOn w:val="style65"/>
    <w:next w:val="style4108"/>
    <w:link w:val="style180"/>
    <w:uiPriority w:val="29"/>
    <w:rPr>
      <w:i/>
      <w:iCs/>
      <w:color w:val="000000"/>
    </w:rPr>
  </w:style>
  <w:style w:type="character" w:customStyle="1" w:styleId="style4109">
    <w:name w:val="Heading 4 Char_23dc8641-8456-427f-addc-110859c1b7e4"/>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02dbba79-8fd7-4d14-ad95-25b1b34793b2"/>
    <w:basedOn w:val="style65"/>
    <w:next w:val="style4110"/>
    <w:link w:val="style5"/>
    <w:uiPriority w:val="9"/>
    <w:rPr>
      <w:rFonts w:ascii="Calibri" w:cs="宋体" w:eastAsia="ＭＳ ゴシック" w:hAnsi="Calibri"/>
      <w:color w:val="243f60"/>
    </w:rPr>
  </w:style>
  <w:style w:type="character" w:customStyle="1" w:styleId="style4111">
    <w:name w:val="Heading 6 Char_bdad4c07-16a5-4358-8384-bf499ba8a982"/>
    <w:basedOn w:val="style65"/>
    <w:next w:val="style4111"/>
    <w:link w:val="style6"/>
    <w:uiPriority w:val="9"/>
    <w:rPr>
      <w:rFonts w:ascii="Calibri" w:cs="宋体" w:eastAsia="ＭＳ ゴシック" w:hAnsi="Calibri"/>
      <w:i/>
      <w:iCs/>
      <w:color w:val="243f60"/>
    </w:rPr>
  </w:style>
  <w:style w:type="character" w:customStyle="1" w:styleId="style4112">
    <w:name w:val="Heading 7 Char_c2f9d098-dc8d-4d5d-8c99-9d1d4bfe6c5f"/>
    <w:basedOn w:val="style65"/>
    <w:next w:val="style4112"/>
    <w:link w:val="style7"/>
    <w:uiPriority w:val="9"/>
    <w:rPr>
      <w:rFonts w:ascii="Calibri" w:cs="宋体" w:eastAsia="ＭＳ ゴシック" w:hAnsi="Calibri"/>
      <w:i/>
      <w:iCs/>
      <w:color w:val="404040"/>
    </w:rPr>
  </w:style>
  <w:style w:type="character" w:customStyle="1" w:styleId="style4113">
    <w:name w:val="Heading 8 Char_24a4892f-501d-47e9-b6fb-ca6c74f7960b"/>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d2d5ee05-9d46-4977-b065-355dbf308dc9"/>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eafb4911-baee-43f8-baa0-0b48d561385c"/>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paragraph" w:customStyle="1" w:styleId="style4116">
    <w:name w:val="Small Note"/>
    <w:next w:val="style4116"/>
    <w:pPr/>
    <w:rPr>
      <w:rFonts w:ascii="Aptos" w:hAnsi="Aptos"/>
      <w:i/>
      <w:sz w:val="17"/>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Words>2395</Words>
  <Pages>1</Pages>
  <Characters>16191</Characters>
  <Application>WPS Office</Application>
  <DocSecurity>0</DocSecurity>
  <Paragraphs>433</Paragraphs>
  <ScaleCrop>false</ScaleCrop>
  <LinksUpToDate>false</LinksUpToDate>
  <CharactersWithSpaces>18323</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SM-S921B</lastModifiedBy>
  <dcterms:modified xsi:type="dcterms:W3CDTF">2026-09-06T14:06:12Z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8d9a50050e644ccda4e7610cb94cedc3_23</vt:lpwstr>
  </property>
</Properties>
</file>