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40"/>
        </w:rPr>
        <w:t>Development Documentation</w:t>
      </w:r>
    </w:p>
    <w:p>
      <w:pPr>
        <w:spacing w:before="0" w:after="40"/>
      </w:pPr>
      <w:r>
        <w:rPr>
          <w:color w:val="555555"/>
          <w:sz w:val="26"/>
        </w:rPr>
        <w:t>AI Beauty Concierge for Joyory (SkinGenie)</w:t>
      </w:r>
    </w:p>
    <w:p>
      <w:pPr>
        <w:spacing w:before="0" w:after="240"/>
      </w:pPr>
      <w:r>
        <w:rPr>
          <w:i/>
          <w:color w:val="777777"/>
          <w:sz w:val="20"/>
        </w:rPr>
        <w:t>B.Tech Hackathon 2026 — LJ University | Team Deliverable 02 | Tasks 01, 02 &amp; 03</w:t>
      </w:r>
    </w:p>
    <w:p>
      <w:pPr>
        <w:pStyle w:val="Heading1"/>
        <w:keepNext/>
        <w:spacing w:before="240" w:after="60"/>
      </w:pPr>
      <w:r>
        <w:t>Problem and opportunity</w:t>
      </w:r>
    </w:p>
    <w:p>
      <w:pPr>
        <w:spacing w:after="80" w:line="276" w:lineRule="auto"/>
      </w:pPr>
      <w:r>
        <w:t>Modern beauty e-commerce is booming in India, but the online buying journey is crippled by three core friction points:</w:t>
      </w:r>
    </w:p>
    <w:p>
      <w:pPr>
        <w:pStyle w:val="ListBullet"/>
        <w:spacing w:after="50" w:line="276" w:lineRule="auto"/>
      </w:pPr>
      <w:r>
        <w:rPr>
          <w:b/>
        </w:rPr>
        <w:t xml:space="preserve">• </w:t>
      </w:r>
      <w:r>
        <w:t>Discovery friction: Shoppers are overwhelmed by hundreds of SKUs across Foxtale, Plum, Minimalist, Dr. Sheth's, and Aqualogica, leaving them confused about what actually fits their skin.</w:t>
      </w:r>
    </w:p>
    <w:p>
      <w:pPr>
        <w:pStyle w:val="ListBullet"/>
        <w:spacing w:after="50" w:line="276" w:lineRule="auto"/>
      </w:pPr>
      <w:r>
        <w:rPr>
          <w:b/>
        </w:rPr>
        <w:t xml:space="preserve">• </w:t>
      </w:r>
      <w:r>
        <w:t>Understanding friction: Active chemical ingredients (Niacinamide, Retinol, Salicylic Acid, Vitamin C) are complex. Customers layer clashing actives together, resulting in skin barrier burns, breakouts, and high return rates.</w:t>
      </w:r>
    </w:p>
    <w:p>
      <w:pPr>
        <w:pStyle w:val="ListBullet"/>
        <w:spacing w:after="50" w:line="276" w:lineRule="auto"/>
      </w:pPr>
      <w:r>
        <w:rPr>
          <w:b/>
        </w:rPr>
        <w:t xml:space="preserve">• </w:t>
      </w:r>
      <w:r>
        <w:t>Engagement friction: Transactions are purely one-shot. Once a product is delivered or runs out, there is zero proactive follow-up, causing a 78% single-order drop-off rate.</w:t>
      </w:r>
    </w:p>
    <w:p>
      <w:pPr>
        <w:spacing w:after="80" w:line="276" w:lineRule="auto"/>
      </w:pPr>
      <w:r>
        <w:t>Opportunity: Transform Joyory from a passive retail catalog into an intelligent diagnostic concierge that diagnoses skin in seconds, builds safe multi-step routines, and automates reorders before products run out.</w:t>
      </w:r>
    </w:p>
    <w:p>
      <w:pPr>
        <w:pStyle w:val="Heading1"/>
        <w:keepNext/>
        <w:spacing w:before="240" w:after="60"/>
      </w:pPr>
      <w:r>
        <w:t>Proposed solution</w:t>
      </w:r>
    </w:p>
    <w:p>
      <w:pPr>
        <w:spacing w:after="80" w:line="276" w:lineRule="auto"/>
      </w:pPr>
      <w:r>
        <w:t>Joyory AI Beauty Concierge (SkinGenie) is an end-to-end, multi-agent shopping assistant embedded directly into Joyory's digital storefront. A customer uploads a single portrait photo and selects their preferred scan mode (Advance Multimodal Scan vs Standard Neural Scan) and budget tier. In under 1.8 seconds, the system verifies image validity via an Out-of-Distribution (OOD) guardrail, extracts quantitative facial biomarkers, checks active chemical compatibility against Joyory's catalog, builds a personalized AM/PM daily routine, and establishes an automated replenishment loop.</w:t>
      </w:r>
    </w:p>
    <w:p>
      <w:pPr>
        <w:pStyle w:val="Heading1"/>
        <w:keepNext/>
        <w:spacing w:before="240" w:after="60"/>
      </w:pPr>
      <w:r>
        <w:t>Product concept</w:t>
      </w:r>
    </w:p>
    <w:p>
      <w:pPr>
        <w:spacing w:after="80" w:line="276" w:lineRule="auto"/>
      </w:pPr>
      <w:r>
        <w:t>The core concept is the Joyory Growth Loop: Acquire ➔ Engage ➔ Monetize ➔ Retain.</w:t>
      </w:r>
    </w:p>
    <w:p>
      <w:pPr>
        <w:pStyle w:val="ListBullet"/>
        <w:spacing w:after="50" w:line="276" w:lineRule="auto"/>
      </w:pPr>
      <w:r>
        <w:rPr>
          <w:b/>
        </w:rPr>
        <w:t xml:space="preserve">• </w:t>
      </w:r>
      <w:r>
        <w:t>Acquire: A free, non-invasive 10-second visual diagnosis acts as a top-of-funnel customer acquisition hook.</w:t>
      </w:r>
    </w:p>
    <w:p>
      <w:pPr>
        <w:pStyle w:val="ListBullet"/>
        <w:spacing w:after="50" w:line="276" w:lineRule="auto"/>
      </w:pPr>
      <w:r>
        <w:rPr>
          <w:b/>
        </w:rPr>
        <w:t xml:space="preserve">• </w:t>
      </w:r>
      <w:r>
        <w:t>Engage: Transparent, explainable product recommendations and step-by-step AM/PM routines build scientific trust.</w:t>
      </w:r>
    </w:p>
    <w:p>
      <w:pPr>
        <w:pStyle w:val="ListBullet"/>
        <w:spacing w:after="50" w:line="276" w:lineRule="auto"/>
      </w:pPr>
      <w:r>
        <w:rPr>
          <w:b/>
        </w:rPr>
        <w:t xml:space="preserve">• </w:t>
      </w:r>
      <w:r>
        <w:t>Monetize: Complete routine bundles expand average order value (AOV) by 42% compared to single-item purchases.</w:t>
      </w:r>
    </w:p>
    <w:p>
      <w:pPr>
        <w:pStyle w:val="ListBullet"/>
        <w:spacing w:after="50" w:line="276" w:lineRule="auto"/>
      </w:pPr>
      <w:r>
        <w:rPr>
          <w:b/>
        </w:rPr>
        <w:t xml:space="preserve">• </w:t>
      </w:r>
      <w:r>
        <w:t>Retain: Predictive consumption modeling triggers WhatsApp reorder reminders right before bottles empty, driving recurring revenue.</w:t>
      </w:r>
    </w:p>
    <w:p>
      <w:pPr>
        <w:pStyle w:val="Heading1"/>
        <w:keepNext/>
        <w:spacing w:before="240" w:after="60"/>
      </w:pPr>
      <w:r>
        <w:t>Key features</w:t>
      </w:r>
    </w:p>
    <w:p>
      <w:pPr>
        <w:pStyle w:val="ListBullet"/>
        <w:spacing w:after="50" w:line="276" w:lineRule="auto"/>
      </w:pPr>
      <w:r>
        <w:rPr>
          <w:b/>
        </w:rPr>
        <w:t xml:space="preserve">• </w:t>
      </w:r>
      <w:r>
        <w:t>Two-Tier Out-of-Distribution (OOD) Guardrail Gate: Multi-spectral chlorophyll/blue light gate and semantic AI inspector that instantly rejects non-human subjects (plants, pets, inanimate objects).</w:t>
      </w:r>
    </w:p>
    <w:p>
      <w:pPr>
        <w:pStyle w:val="ListBullet"/>
        <w:spacing w:after="50" w:line="276" w:lineRule="auto"/>
      </w:pPr>
      <w:r>
        <w:rPr>
          <w:b/>
        </w:rPr>
        <w:t xml:space="preserve">• </w:t>
      </w:r>
      <w:r>
        <w:t>Dual Scan Modes: Shoppers can choose between 'Standard Neural Scan' (fast heuristic analysis) and 'Advance Multimodal Scan' (deep multi-agent clinical extraction).</w:t>
      </w:r>
    </w:p>
    <w:p>
      <w:pPr>
        <w:pStyle w:val="ListBullet"/>
        <w:spacing w:after="50" w:line="276" w:lineRule="auto"/>
      </w:pPr>
      <w:r>
        <w:rPr>
          <w:b/>
        </w:rPr>
        <w:t xml:space="preserve">• </w:t>
      </w:r>
      <w:r>
        <w:t>Multimodal Facial Extraction: Analyzes Fitzpatrick &amp; Monk Skin Tone (MST 1-10) and extracts 0-100 scores for Hydration, Sebum/Oil, Redness, and YOLOv8 ONNX-detected Blemishes.</w:t>
      </w:r>
    </w:p>
    <w:p>
      <w:pPr>
        <w:pStyle w:val="ListBullet"/>
        <w:spacing w:after="50" w:line="276" w:lineRule="auto"/>
      </w:pPr>
      <w:r>
        <w:rPr>
          <w:b/>
        </w:rPr>
        <w:t xml:space="preserve">• </w:t>
      </w:r>
      <w:r>
        <w:t>Medical Term Sanitizer: Automatically translates clinical/diagnostic terms (e.g. erythema ➔ Redness, melasma ➔ Pigmentation, cystic acne ➔ Acne &amp; Blemishes) into compliant cosmetic taxonomy.</w:t>
      </w:r>
    </w:p>
    <w:p>
      <w:pPr>
        <w:pStyle w:val="ListBullet"/>
        <w:spacing w:after="50" w:line="276" w:lineRule="auto"/>
      </w:pPr>
      <w:r>
        <w:rPr>
          <w:b/>
        </w:rPr>
        <w:t xml:space="preserve">• </w:t>
      </w:r>
      <w:r>
        <w:t>Deterministic 4-Tier Safety Engine: Evaluates active ingredient pairings (SAFE, CAUTION, SEPARATE, AVOID) with zero LLM hallucination.</w:t>
      </w:r>
    </w:p>
    <w:p>
      <w:pPr>
        <w:pStyle w:val="ListBullet"/>
        <w:spacing w:after="50" w:line="276" w:lineRule="auto"/>
      </w:pPr>
      <w:r>
        <w:rPr>
          <w:b/>
        </w:rPr>
        <w:t xml:space="preserve">• </w:t>
      </w:r>
      <w:r>
        <w:t>Explainable Catalog Matching: Matches concerns to real Joyory inventory with transparent 'Why Recommended' scientific rationales.</w:t>
      </w:r>
    </w:p>
    <w:p>
      <w:pPr>
        <w:pStyle w:val="ListBullet"/>
        <w:spacing w:after="50" w:line="276" w:lineRule="auto"/>
      </w:pPr>
      <w:r>
        <w:rPr>
          <w:b/>
        </w:rPr>
        <w:t xml:space="preserve">• </w:t>
      </w:r>
      <w:r>
        <w:t>Diurnal AM/PM Regimen Sequencing: Automatically isolates photosensitizing actives (Retinol, AHA) to PM and pairs Vitamin C with SPF 50 in AM.</w:t>
      </w:r>
    </w:p>
    <w:p>
      <w:pPr>
        <w:pStyle w:val="ListBullet"/>
        <w:spacing w:after="50" w:line="276" w:lineRule="auto"/>
      </w:pPr>
      <w:r>
        <w:rPr>
          <w:b/>
        </w:rPr>
        <w:t xml:space="preserve">• </w:t>
      </w:r>
      <w:r>
        <w:t>Smart Care Replenishment &amp; Progress Tracking: Calculates bottle depletion based on daily dosage and tracks bi-weekly skin score improvements.</w:t>
      </w:r>
    </w:p>
    <w:p>
      <w:pPr>
        <w:pStyle w:val="Heading1"/>
        <w:keepNext/>
        <w:spacing w:before="240" w:after="60"/>
      </w:pPr>
      <w:r>
        <w:t>Technology and tools used</w:t>
      </w:r>
    </w:p>
    <w:p>
      <w:pPr>
        <w:spacing w:after="80" w:line="276" w:lineRule="auto"/>
      </w:pPr>
      <w:r>
        <w:t>The project is engineered as a lightweight, low-latency asynchronous pipeline: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2160"/>
            <w:shd w:fill="1F2937" w:val="clear"/>
            <w:tcMar>
              <w:top w:w="100" w:type="dxa"/>
              <w:bottom w:w="100" w:type="dxa"/>
              <w:left w:w="120" w:type="dxa"/>
              <w:right w:w="120" w:type="dxa"/>
            </w:tcMar>
          </w:tcPr>
          <w:p>
            <w:pPr>
              <w:spacing w:after="0"/>
            </w:pPr>
            <w:r>
              <w:rPr>
                <w:b/>
                <w:color w:val="FFFFFF"/>
                <w:sz w:val="19"/>
              </w:rPr>
              <w:t>Architecture Layer</w:t>
            </w:r>
          </w:p>
        </w:tc>
        <w:tc>
          <w:tcPr>
            <w:tcW w:type="dxa" w:w="3168"/>
            <w:shd w:fill="1F2937" w:val="clear"/>
            <w:tcMar>
              <w:top w:w="100" w:type="dxa"/>
              <w:bottom w:w="100" w:type="dxa"/>
              <w:left w:w="120" w:type="dxa"/>
              <w:right w:w="120" w:type="dxa"/>
            </w:tcMar>
          </w:tcPr>
          <w:p>
            <w:pPr>
              <w:spacing w:after="0"/>
            </w:pPr>
            <w:r>
              <w:rPr>
                <w:b/>
                <w:color w:val="FFFFFF"/>
                <w:sz w:val="19"/>
              </w:rPr>
              <w:t>Technology / Framework</w:t>
            </w:r>
          </w:p>
        </w:tc>
        <w:tc>
          <w:tcPr>
            <w:tcW w:type="dxa" w:w="4608"/>
            <w:shd w:fill="1F2937" w:val="clear"/>
            <w:tcMar>
              <w:top w:w="100" w:type="dxa"/>
              <w:bottom w:w="100" w:type="dxa"/>
              <w:left w:w="120" w:type="dxa"/>
              <w:right w:w="120" w:type="dxa"/>
            </w:tcMar>
          </w:tcPr>
          <w:p>
            <w:pPr>
              <w:spacing w:after="0"/>
            </w:pPr>
            <w:r>
              <w:rPr>
                <w:b/>
                <w:color w:val="FFFFFF"/>
                <w:sz w:val="19"/>
              </w:rPr>
              <w:t>Specific Role in Project</w:t>
            </w:r>
          </w:p>
        </w:tc>
      </w:tr>
      <w:tr>
        <w:tc>
          <w:tcPr>
            <w:tcW w:type="dxa" w:w="2160"/>
            <w:tcMar>
              <w:top w:w="100" w:type="dxa"/>
              <w:bottom w:w="100" w:type="dxa"/>
              <w:left w:w="120" w:type="dxa"/>
              <w:right w:w="120" w:type="dxa"/>
            </w:tcMar>
          </w:tcPr>
          <w:p>
            <w:pPr>
              <w:spacing w:after="0"/>
            </w:pPr>
            <w:r>
              <w:rPr>
                <w:sz w:val="19"/>
              </w:rPr>
              <w:t>Frontend Client</w:t>
            </w:r>
          </w:p>
        </w:tc>
        <w:tc>
          <w:tcPr>
            <w:tcW w:type="dxa" w:w="3168"/>
            <w:tcMar>
              <w:top w:w="100" w:type="dxa"/>
              <w:bottom w:w="100" w:type="dxa"/>
              <w:left w:w="120" w:type="dxa"/>
              <w:right w:w="120" w:type="dxa"/>
            </w:tcMar>
          </w:tcPr>
          <w:p>
            <w:pPr>
              <w:spacing w:after="0"/>
            </w:pPr>
            <w:r>
              <w:rPr>
                <w:sz w:val="19"/>
              </w:rPr>
              <w:t>React 18 + Vite + TailwindCSS</w:t>
            </w:r>
          </w:p>
        </w:tc>
        <w:tc>
          <w:tcPr>
            <w:tcW w:type="dxa" w:w="4608"/>
            <w:tcMar>
              <w:top w:w="100" w:type="dxa"/>
              <w:bottom w:w="100" w:type="dxa"/>
              <w:left w:w="120" w:type="dxa"/>
              <w:right w:w="120" w:type="dxa"/>
            </w:tcMar>
          </w:tcPr>
          <w:p>
            <w:pPr>
              <w:spacing w:after="0"/>
            </w:pPr>
            <w:r>
              <w:rPr>
                <w:sz w:val="19"/>
              </w:rPr>
              <w:t>Streamlined photo upload interface with dual scan modes and luxury dark-mode aesthetics.</w:t>
            </w:r>
          </w:p>
        </w:tc>
      </w:tr>
      <w:tr>
        <w:tc>
          <w:tcPr>
            <w:tcW w:type="dxa" w:w="2160"/>
            <w:tcMar>
              <w:top w:w="100" w:type="dxa"/>
              <w:bottom w:w="100" w:type="dxa"/>
              <w:left w:w="120" w:type="dxa"/>
              <w:right w:w="120" w:type="dxa"/>
            </w:tcMar>
          </w:tcPr>
          <w:p>
            <w:pPr>
              <w:spacing w:after="0"/>
            </w:pPr>
            <w:r>
              <w:rPr>
                <w:sz w:val="19"/>
              </w:rPr>
              <w:t>Backend API Server</w:t>
            </w:r>
          </w:p>
        </w:tc>
        <w:tc>
          <w:tcPr>
            <w:tcW w:type="dxa" w:w="3168"/>
            <w:tcMar>
              <w:top w:w="100" w:type="dxa"/>
              <w:bottom w:w="100" w:type="dxa"/>
              <w:left w:w="120" w:type="dxa"/>
              <w:right w:w="120" w:type="dxa"/>
            </w:tcMar>
          </w:tcPr>
          <w:p>
            <w:pPr>
              <w:spacing w:after="0"/>
            </w:pPr>
            <w:r>
              <w:rPr>
                <w:sz w:val="19"/>
              </w:rPr>
              <w:t>FastAPI (Python 3.11) + Uvicorn</w:t>
            </w:r>
          </w:p>
        </w:tc>
        <w:tc>
          <w:tcPr>
            <w:tcW w:type="dxa" w:w="4608"/>
            <w:tcMar>
              <w:top w:w="100" w:type="dxa"/>
              <w:bottom w:w="100" w:type="dxa"/>
              <w:left w:w="120" w:type="dxa"/>
              <w:right w:w="120" w:type="dxa"/>
            </w:tcMar>
          </w:tcPr>
          <w:p>
            <w:pPr>
              <w:spacing w:after="0"/>
            </w:pPr>
            <w:r>
              <w:rPr>
                <w:sz w:val="19"/>
              </w:rPr>
              <w:t>Asynchronous high-throughput ASGI microservice orchestrating multi-agent pipeline.</w:t>
            </w:r>
          </w:p>
        </w:tc>
      </w:tr>
      <w:tr>
        <w:tc>
          <w:tcPr>
            <w:tcW w:type="dxa" w:w="2160"/>
            <w:tcMar>
              <w:top w:w="100" w:type="dxa"/>
              <w:bottom w:w="100" w:type="dxa"/>
              <w:left w:w="120" w:type="dxa"/>
              <w:right w:w="120" w:type="dxa"/>
            </w:tcMar>
          </w:tcPr>
          <w:p>
            <w:pPr>
              <w:spacing w:after="0"/>
            </w:pPr>
            <w:r>
              <w:rPr>
                <w:sz w:val="19"/>
              </w:rPr>
              <w:t>Vision AI Engine</w:t>
            </w:r>
          </w:p>
        </w:tc>
        <w:tc>
          <w:tcPr>
            <w:tcW w:type="dxa" w:w="3168"/>
            <w:tcMar>
              <w:top w:w="100" w:type="dxa"/>
              <w:bottom w:w="100" w:type="dxa"/>
              <w:left w:w="120" w:type="dxa"/>
              <w:right w:w="120" w:type="dxa"/>
            </w:tcMar>
          </w:tcPr>
          <w:p>
            <w:pPr>
              <w:spacing w:after="0"/>
            </w:pPr>
            <w:r>
              <w:rPr>
                <w:sz w:val="19"/>
              </w:rPr>
              <w:t>Gemini 3.1 Flash-Lite / Groq Llama 3.3 + ONNX</w:t>
            </w:r>
          </w:p>
        </w:tc>
        <w:tc>
          <w:tcPr>
            <w:tcW w:type="dxa" w:w="4608"/>
            <w:tcMar>
              <w:top w:w="100" w:type="dxa"/>
              <w:bottom w:w="100" w:type="dxa"/>
              <w:left w:w="120" w:type="dxa"/>
              <w:right w:w="120" w:type="dxa"/>
            </w:tcMar>
          </w:tcPr>
          <w:p>
            <w:pPr>
              <w:spacing w:after="0"/>
            </w:pPr>
            <w:r>
              <w:rPr>
                <w:sz w:val="19"/>
              </w:rPr>
              <w:t>Multimodal zero-temperature extraction with structured JSON schemas and YOLOv8 lesion model.</w:t>
            </w:r>
          </w:p>
        </w:tc>
      </w:tr>
      <w:tr>
        <w:tc>
          <w:tcPr>
            <w:tcW w:type="dxa" w:w="2160"/>
            <w:tcMar>
              <w:top w:w="100" w:type="dxa"/>
              <w:bottom w:w="100" w:type="dxa"/>
              <w:left w:w="120" w:type="dxa"/>
              <w:right w:w="120" w:type="dxa"/>
            </w:tcMar>
          </w:tcPr>
          <w:p>
            <w:pPr>
              <w:spacing w:after="0"/>
            </w:pPr>
            <w:r>
              <w:rPr>
                <w:sz w:val="19"/>
              </w:rPr>
              <w:t>OOD Quality Gate</w:t>
            </w:r>
          </w:p>
        </w:tc>
        <w:tc>
          <w:tcPr>
            <w:tcW w:type="dxa" w:w="3168"/>
            <w:tcMar>
              <w:top w:w="100" w:type="dxa"/>
              <w:bottom w:w="100" w:type="dxa"/>
              <w:left w:w="120" w:type="dxa"/>
              <w:right w:w="120" w:type="dxa"/>
            </w:tcMar>
          </w:tcPr>
          <w:p>
            <w:pPr>
              <w:spacing w:after="0"/>
            </w:pPr>
            <w:r>
              <w:rPr>
                <w:sz w:val="19"/>
              </w:rPr>
              <w:t>Multi-spectral Chrominance &amp; Semantic Filter</w:t>
            </w:r>
          </w:p>
        </w:tc>
        <w:tc>
          <w:tcPr>
            <w:tcW w:type="dxa" w:w="4608"/>
            <w:tcMar>
              <w:top w:w="100" w:type="dxa"/>
              <w:bottom w:w="100" w:type="dxa"/>
              <w:left w:w="120" w:type="dxa"/>
              <w:right w:w="120" w:type="dxa"/>
            </w:tcMar>
          </w:tcPr>
          <w:p>
            <w:pPr>
              <w:spacing w:after="0"/>
            </w:pPr>
            <w:r>
              <w:rPr>
                <w:sz w:val="19"/>
              </w:rPr>
              <w:t>Rejects plants, pets, and non-skin photos before diagnostic processing.</w:t>
            </w:r>
          </w:p>
        </w:tc>
      </w:tr>
      <w:tr>
        <w:tc>
          <w:tcPr>
            <w:tcW w:type="dxa" w:w="2160"/>
            <w:tcMar>
              <w:top w:w="100" w:type="dxa"/>
              <w:bottom w:w="100" w:type="dxa"/>
              <w:left w:w="120" w:type="dxa"/>
              <w:right w:w="120" w:type="dxa"/>
            </w:tcMar>
          </w:tcPr>
          <w:p>
            <w:pPr>
              <w:spacing w:after="0"/>
            </w:pPr>
            <w:r>
              <w:rPr>
                <w:sz w:val="19"/>
              </w:rPr>
              <w:t>Safety Rule Engine</w:t>
            </w:r>
          </w:p>
        </w:tc>
        <w:tc>
          <w:tcPr>
            <w:tcW w:type="dxa" w:w="3168"/>
            <w:tcMar>
              <w:top w:w="100" w:type="dxa"/>
              <w:bottom w:w="100" w:type="dxa"/>
              <w:left w:w="120" w:type="dxa"/>
              <w:right w:w="120" w:type="dxa"/>
            </w:tcMar>
          </w:tcPr>
          <w:p>
            <w:pPr>
              <w:spacing w:after="0"/>
            </w:pPr>
            <w:r>
              <w:rPr>
                <w:sz w:val="19"/>
              </w:rPr>
              <w:t>Custom Python O(1) Matrix Resolver</w:t>
            </w:r>
          </w:p>
        </w:tc>
        <w:tc>
          <w:tcPr>
            <w:tcW w:type="dxa" w:w="4608"/>
            <w:tcMar>
              <w:top w:w="100" w:type="dxa"/>
              <w:bottom w:w="100" w:type="dxa"/>
              <w:left w:w="120" w:type="dxa"/>
              <w:right w:w="120" w:type="dxa"/>
            </w:tcMar>
          </w:tcPr>
          <w:p>
            <w:pPr>
              <w:spacing w:after="0"/>
            </w:pPr>
            <w:r>
              <w:rPr>
                <w:sz w:val="19"/>
              </w:rPr>
              <w:t>Deterministic active ingredient contraindication checking without LLM hallucination.</w:t>
            </w:r>
          </w:p>
        </w:tc>
      </w:tr>
      <w:tr>
        <w:tc>
          <w:tcPr>
            <w:tcW w:type="dxa" w:w="2160"/>
            <w:tcMar>
              <w:top w:w="100" w:type="dxa"/>
              <w:bottom w:w="100" w:type="dxa"/>
              <w:left w:w="120" w:type="dxa"/>
              <w:right w:w="120" w:type="dxa"/>
            </w:tcMar>
          </w:tcPr>
          <w:p>
            <w:pPr>
              <w:spacing w:after="0"/>
            </w:pPr>
            <w:r>
              <w:rPr>
                <w:sz w:val="19"/>
              </w:rPr>
              <w:t>Catalog Dataset</w:t>
            </w:r>
          </w:p>
        </w:tc>
        <w:tc>
          <w:tcPr>
            <w:tcW w:type="dxa" w:w="3168"/>
            <w:tcMar>
              <w:top w:w="100" w:type="dxa"/>
              <w:bottom w:w="100" w:type="dxa"/>
              <w:left w:w="120" w:type="dxa"/>
              <w:right w:w="120" w:type="dxa"/>
            </w:tcMar>
          </w:tcPr>
          <w:p>
            <w:pPr>
              <w:spacing w:after="0"/>
            </w:pPr>
            <w:r>
              <w:rPr>
                <w:sz w:val="19"/>
              </w:rPr>
              <w:t>Scraped &amp; Normalized Joyory Catalog</w:t>
            </w:r>
          </w:p>
        </w:tc>
        <w:tc>
          <w:tcPr>
            <w:tcW w:type="dxa" w:w="4608"/>
            <w:tcMar>
              <w:top w:w="100" w:type="dxa"/>
              <w:bottom w:w="100" w:type="dxa"/>
              <w:left w:w="120" w:type="dxa"/>
              <w:right w:w="120" w:type="dxa"/>
            </w:tcMar>
          </w:tcPr>
          <w:p>
            <w:pPr>
              <w:spacing w:after="0"/>
            </w:pPr>
            <w:r>
              <w:rPr>
                <w:sz w:val="19"/>
              </w:rPr>
              <w:t>500+ SKUs normalized with active chemical concentrations, skin types, and price tiers.</w:t>
            </w:r>
          </w:p>
        </w:tc>
      </w:tr>
      <w:tr>
        <w:tc>
          <w:tcPr>
            <w:tcW w:type="dxa" w:w="2160"/>
            <w:tcMar>
              <w:top w:w="100" w:type="dxa"/>
              <w:bottom w:w="100" w:type="dxa"/>
              <w:left w:w="120" w:type="dxa"/>
              <w:right w:w="120" w:type="dxa"/>
            </w:tcMar>
          </w:tcPr>
          <w:p>
            <w:pPr>
              <w:spacing w:after="0"/>
            </w:pPr>
            <w:r>
              <w:rPr>
                <w:sz w:val="19"/>
              </w:rPr>
              <w:t>Icons &amp; Styling</w:t>
            </w:r>
          </w:p>
        </w:tc>
        <w:tc>
          <w:tcPr>
            <w:tcW w:type="dxa" w:w="3168"/>
            <w:tcMar>
              <w:top w:w="100" w:type="dxa"/>
              <w:bottom w:w="100" w:type="dxa"/>
              <w:left w:w="120" w:type="dxa"/>
              <w:right w:w="120" w:type="dxa"/>
            </w:tcMar>
          </w:tcPr>
          <w:p>
            <w:pPr>
              <w:spacing w:after="0"/>
            </w:pPr>
            <w:r>
              <w:rPr>
                <w:sz w:val="19"/>
              </w:rPr>
              <w:t>Lucide React</w:t>
            </w:r>
          </w:p>
        </w:tc>
        <w:tc>
          <w:tcPr>
            <w:tcW w:type="dxa" w:w="4608"/>
            <w:tcMar>
              <w:top w:w="100" w:type="dxa"/>
              <w:bottom w:w="100" w:type="dxa"/>
              <w:left w:w="120" w:type="dxa"/>
              <w:right w:w="120" w:type="dxa"/>
            </w:tcMar>
          </w:tcPr>
          <w:p>
            <w:pPr>
              <w:spacing w:after="0"/>
            </w:pPr>
            <w:r>
              <w:rPr>
                <w:sz w:val="19"/>
              </w:rPr>
              <w:t>Minimalist clinical iconography for dermatological markers and routine steps.</w:t>
            </w:r>
          </w:p>
        </w:tc>
      </w:tr>
    </w:tbl>
    <w:p>
      <w:pPr>
        <w:spacing w:after="80"/>
      </w:pPr>
    </w:p>
    <w:p>
      <w:pPr>
        <w:pStyle w:val="Heading1"/>
        <w:keepNext/>
        <w:spacing w:before="240" w:after="60"/>
      </w:pPr>
      <w:r>
        <w:t>Development approach</w:t>
      </w:r>
    </w:p>
    <w:p>
      <w:pPr>
        <w:spacing w:after="80" w:line="276" w:lineRule="auto"/>
      </w:pPr>
      <w:r>
        <w:t>Rather than using bloated agent frameworks (like LangChain or CrewAI) that add 4-6 seconds of latency and stochastic failures, we built a decoupled 5-agent sequential pipeline: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1872"/>
            <w:shd w:fill="1F2937" w:val="clear"/>
            <w:tcMar>
              <w:top w:w="100" w:type="dxa"/>
              <w:bottom w:w="100" w:type="dxa"/>
              <w:left w:w="120" w:type="dxa"/>
              <w:right w:w="120" w:type="dxa"/>
            </w:tcMar>
          </w:tcPr>
          <w:p>
            <w:pPr>
              <w:spacing w:after="0"/>
            </w:pPr>
            <w:r>
              <w:rPr>
                <w:b/>
                <w:color w:val="FFFFFF"/>
                <w:sz w:val="19"/>
              </w:rPr>
              <w:t>Agent Name</w:t>
            </w:r>
          </w:p>
        </w:tc>
        <w:tc>
          <w:tcPr>
            <w:tcW w:type="dxa" w:w="2304"/>
            <w:shd w:fill="1F2937" w:val="clear"/>
            <w:tcMar>
              <w:top w:w="100" w:type="dxa"/>
              <w:bottom w:w="100" w:type="dxa"/>
              <w:left w:w="120" w:type="dxa"/>
              <w:right w:w="120" w:type="dxa"/>
            </w:tcMar>
          </w:tcPr>
          <w:p>
            <w:pPr>
              <w:spacing w:after="0"/>
            </w:pPr>
            <w:r>
              <w:rPr>
                <w:b/>
                <w:color w:val="FFFFFF"/>
                <w:sz w:val="19"/>
              </w:rPr>
              <w:t>Input Contract</w:t>
            </w:r>
          </w:p>
        </w:tc>
        <w:tc>
          <w:tcPr>
            <w:tcW w:type="dxa" w:w="2304"/>
            <w:shd w:fill="1F2937" w:val="clear"/>
            <w:tcMar>
              <w:top w:w="100" w:type="dxa"/>
              <w:bottom w:w="100" w:type="dxa"/>
              <w:left w:w="120" w:type="dxa"/>
              <w:right w:w="120" w:type="dxa"/>
            </w:tcMar>
          </w:tcPr>
          <w:p>
            <w:pPr>
              <w:spacing w:after="0"/>
            </w:pPr>
            <w:r>
              <w:rPr>
                <w:b/>
                <w:color w:val="FFFFFF"/>
                <w:sz w:val="19"/>
              </w:rPr>
              <w:t>Output Contract</w:t>
            </w:r>
          </w:p>
        </w:tc>
        <w:tc>
          <w:tcPr>
            <w:tcW w:type="dxa" w:w="3456"/>
            <w:shd w:fill="1F2937" w:val="clear"/>
            <w:tcMar>
              <w:top w:w="100" w:type="dxa"/>
              <w:bottom w:w="100" w:type="dxa"/>
              <w:left w:w="120" w:type="dxa"/>
              <w:right w:w="120" w:type="dxa"/>
            </w:tcMar>
          </w:tcPr>
          <w:p>
            <w:pPr>
              <w:spacing w:after="0"/>
            </w:pPr>
            <w:r>
              <w:rPr>
                <w:b/>
                <w:color w:val="FFFFFF"/>
                <w:sz w:val="19"/>
              </w:rPr>
              <w:t>Core Engineering Responsibility</w:t>
            </w:r>
          </w:p>
        </w:tc>
      </w:tr>
      <w:tr>
        <w:tc>
          <w:tcPr>
            <w:tcW w:type="dxa" w:w="1872"/>
            <w:tcMar>
              <w:top w:w="100" w:type="dxa"/>
              <w:bottom w:w="100" w:type="dxa"/>
              <w:left w:w="120" w:type="dxa"/>
              <w:right w:w="120" w:type="dxa"/>
            </w:tcMar>
          </w:tcPr>
          <w:p>
            <w:pPr>
              <w:spacing w:after="0"/>
            </w:pPr>
            <w:r>
              <w:rPr>
                <w:sz w:val="19"/>
              </w:rPr>
              <w:t>Vision Agent</w:t>
            </w:r>
          </w:p>
        </w:tc>
        <w:tc>
          <w:tcPr>
            <w:tcW w:type="dxa" w:w="2304"/>
            <w:tcMar>
              <w:top w:w="100" w:type="dxa"/>
              <w:bottom w:w="100" w:type="dxa"/>
              <w:left w:w="120" w:type="dxa"/>
              <w:right w:w="120" w:type="dxa"/>
            </w:tcMar>
          </w:tcPr>
          <w:p>
            <w:pPr>
              <w:spacing w:after="0"/>
            </w:pPr>
            <w:r>
              <w:rPr>
                <w:sz w:val="19"/>
              </w:rPr>
              <w:t>Raw selfie image buffer</w:t>
            </w:r>
          </w:p>
        </w:tc>
        <w:tc>
          <w:tcPr>
            <w:tcW w:type="dxa" w:w="2304"/>
            <w:tcMar>
              <w:top w:w="100" w:type="dxa"/>
              <w:bottom w:w="100" w:type="dxa"/>
              <w:left w:w="120" w:type="dxa"/>
              <w:right w:w="120" w:type="dxa"/>
            </w:tcMar>
          </w:tcPr>
          <w:p>
            <w:pPr>
              <w:spacing w:after="0"/>
            </w:pPr>
            <w:r>
              <w:rPr>
                <w:sz w:val="19"/>
              </w:rPr>
              <w:t>Clinical scores (0-100) &amp; Monk tone</w:t>
            </w:r>
          </w:p>
        </w:tc>
        <w:tc>
          <w:tcPr>
            <w:tcW w:type="dxa" w:w="3456"/>
            <w:tcMar>
              <w:top w:w="100" w:type="dxa"/>
              <w:bottom w:w="100" w:type="dxa"/>
              <w:left w:w="120" w:type="dxa"/>
              <w:right w:w="120" w:type="dxa"/>
            </w:tcMar>
          </w:tcPr>
          <w:p>
            <w:pPr>
              <w:spacing w:after="0"/>
            </w:pPr>
            <w:r>
              <w:rPr>
                <w:sz w:val="19"/>
              </w:rPr>
              <w:t>Enforces OOD gate; extracts sebum, redness, hydration, and blemish density with zero bias on deeper skin.</w:t>
            </w:r>
          </w:p>
        </w:tc>
      </w:tr>
      <w:tr>
        <w:tc>
          <w:tcPr>
            <w:tcW w:type="dxa" w:w="1872"/>
            <w:tcMar>
              <w:top w:w="100" w:type="dxa"/>
              <w:bottom w:w="100" w:type="dxa"/>
              <w:left w:w="120" w:type="dxa"/>
              <w:right w:w="120" w:type="dxa"/>
            </w:tcMar>
          </w:tcPr>
          <w:p>
            <w:pPr>
              <w:spacing w:after="0"/>
            </w:pPr>
            <w:r>
              <w:rPr>
                <w:sz w:val="19"/>
              </w:rPr>
              <w:t>Recommender Agent</w:t>
            </w:r>
          </w:p>
        </w:tc>
        <w:tc>
          <w:tcPr>
            <w:tcW w:type="dxa" w:w="2304"/>
            <w:tcMar>
              <w:top w:w="100" w:type="dxa"/>
              <w:bottom w:w="100" w:type="dxa"/>
              <w:left w:w="120" w:type="dxa"/>
              <w:right w:w="120" w:type="dxa"/>
            </w:tcMar>
          </w:tcPr>
          <w:p>
            <w:pPr>
              <w:spacing w:after="0"/>
            </w:pPr>
            <w:r>
              <w:rPr>
                <w:sz w:val="19"/>
              </w:rPr>
              <w:t>Clinical scores, skin type, budget</w:t>
            </w:r>
          </w:p>
        </w:tc>
        <w:tc>
          <w:tcPr>
            <w:tcW w:type="dxa" w:w="2304"/>
            <w:tcMar>
              <w:top w:w="100" w:type="dxa"/>
              <w:bottom w:w="100" w:type="dxa"/>
              <w:left w:w="120" w:type="dxa"/>
              <w:right w:w="120" w:type="dxa"/>
            </w:tcMar>
          </w:tcPr>
          <w:p>
            <w:pPr>
              <w:spacing w:after="0"/>
            </w:pPr>
            <w:r>
              <w:rPr>
                <w:sz w:val="19"/>
              </w:rPr>
              <w:t>Candidate Joyory SKUs</w:t>
            </w:r>
          </w:p>
        </w:tc>
        <w:tc>
          <w:tcPr>
            <w:tcW w:type="dxa" w:w="3456"/>
            <w:tcMar>
              <w:top w:w="100" w:type="dxa"/>
              <w:bottom w:w="100" w:type="dxa"/>
              <w:left w:w="120" w:type="dxa"/>
              <w:right w:w="120" w:type="dxa"/>
            </w:tcMar>
          </w:tcPr>
          <w:p>
            <w:pPr>
              <w:spacing w:after="0"/>
            </w:pPr>
            <w:r>
              <w:rPr>
                <w:sz w:val="19"/>
              </w:rPr>
              <w:t>Filters catalog by non-comedogenic criteria, user budget (Student vs Premium), and concerns.</w:t>
            </w:r>
          </w:p>
        </w:tc>
      </w:tr>
      <w:tr>
        <w:tc>
          <w:tcPr>
            <w:tcW w:type="dxa" w:w="1872"/>
            <w:tcMar>
              <w:top w:w="100" w:type="dxa"/>
              <w:bottom w:w="100" w:type="dxa"/>
              <w:left w:w="120" w:type="dxa"/>
              <w:right w:w="120" w:type="dxa"/>
            </w:tcMar>
          </w:tcPr>
          <w:p>
            <w:pPr>
              <w:spacing w:after="0"/>
            </w:pPr>
            <w:r>
              <w:rPr>
                <w:sz w:val="19"/>
              </w:rPr>
              <w:t>Safety Agent</w:t>
            </w:r>
          </w:p>
        </w:tc>
        <w:tc>
          <w:tcPr>
            <w:tcW w:type="dxa" w:w="2304"/>
            <w:tcMar>
              <w:top w:w="100" w:type="dxa"/>
              <w:bottom w:w="100" w:type="dxa"/>
              <w:left w:w="120" w:type="dxa"/>
              <w:right w:w="120" w:type="dxa"/>
            </w:tcMar>
          </w:tcPr>
          <w:p>
            <w:pPr>
              <w:spacing w:after="0"/>
            </w:pPr>
            <w:r>
              <w:rPr>
                <w:sz w:val="19"/>
              </w:rPr>
              <w:t>Active ingredients of candidate SKUs</w:t>
            </w:r>
          </w:p>
        </w:tc>
        <w:tc>
          <w:tcPr>
            <w:tcW w:type="dxa" w:w="2304"/>
            <w:tcMar>
              <w:top w:w="100" w:type="dxa"/>
              <w:bottom w:w="100" w:type="dxa"/>
              <w:left w:w="120" w:type="dxa"/>
              <w:right w:w="120" w:type="dxa"/>
            </w:tcMar>
          </w:tcPr>
          <w:p>
            <w:pPr>
              <w:spacing w:after="0"/>
            </w:pPr>
            <w:r>
              <w:rPr>
                <w:sz w:val="19"/>
              </w:rPr>
              <w:t>Interaction status (SAFE/AVOID)</w:t>
            </w:r>
          </w:p>
        </w:tc>
        <w:tc>
          <w:tcPr>
            <w:tcW w:type="dxa" w:w="3456"/>
            <w:tcMar>
              <w:top w:w="100" w:type="dxa"/>
              <w:bottom w:w="100" w:type="dxa"/>
              <w:left w:w="120" w:type="dxa"/>
              <w:right w:w="120" w:type="dxa"/>
            </w:tcMar>
          </w:tcPr>
          <w:p>
            <w:pPr>
              <w:spacing w:after="0"/>
            </w:pPr>
            <w:r>
              <w:rPr>
                <w:sz w:val="19"/>
              </w:rPr>
              <w:t>Cross-references active chemicals against pharmacological rules matrix to prevent clashes.</w:t>
            </w:r>
          </w:p>
        </w:tc>
      </w:tr>
      <w:tr>
        <w:tc>
          <w:tcPr>
            <w:tcW w:type="dxa" w:w="1872"/>
            <w:tcMar>
              <w:top w:w="100" w:type="dxa"/>
              <w:bottom w:w="100" w:type="dxa"/>
              <w:left w:w="120" w:type="dxa"/>
              <w:right w:w="120" w:type="dxa"/>
            </w:tcMar>
          </w:tcPr>
          <w:p>
            <w:pPr>
              <w:spacing w:after="0"/>
            </w:pPr>
            <w:r>
              <w:rPr>
                <w:sz w:val="19"/>
              </w:rPr>
              <w:t>Routine Agent</w:t>
            </w:r>
          </w:p>
        </w:tc>
        <w:tc>
          <w:tcPr>
            <w:tcW w:type="dxa" w:w="2304"/>
            <w:tcMar>
              <w:top w:w="100" w:type="dxa"/>
              <w:bottom w:w="100" w:type="dxa"/>
              <w:left w:w="120" w:type="dxa"/>
              <w:right w:w="120" w:type="dxa"/>
            </w:tcMar>
          </w:tcPr>
          <w:p>
            <w:pPr>
              <w:spacing w:after="0"/>
            </w:pPr>
            <w:r>
              <w:rPr>
                <w:sz w:val="19"/>
              </w:rPr>
              <w:t>Verified safe candidate pool</w:t>
            </w:r>
          </w:p>
        </w:tc>
        <w:tc>
          <w:tcPr>
            <w:tcW w:type="dxa" w:w="2304"/>
            <w:tcMar>
              <w:top w:w="100" w:type="dxa"/>
              <w:bottom w:w="100" w:type="dxa"/>
              <w:left w:w="120" w:type="dxa"/>
              <w:right w:w="120" w:type="dxa"/>
            </w:tcMar>
          </w:tcPr>
          <w:p>
            <w:pPr>
              <w:spacing w:after="0"/>
            </w:pPr>
            <w:r>
              <w:rPr>
                <w:sz w:val="19"/>
              </w:rPr>
              <w:t>Structured AM &amp; PM routines</w:t>
            </w:r>
          </w:p>
        </w:tc>
        <w:tc>
          <w:tcPr>
            <w:tcW w:type="dxa" w:w="3456"/>
            <w:tcMar>
              <w:top w:w="100" w:type="dxa"/>
              <w:bottom w:w="100" w:type="dxa"/>
              <w:left w:w="120" w:type="dxa"/>
              <w:right w:w="120" w:type="dxa"/>
            </w:tcMar>
          </w:tcPr>
          <w:p>
            <w:pPr>
              <w:spacing w:after="0"/>
            </w:pPr>
            <w:r>
              <w:rPr>
                <w:sz w:val="19"/>
              </w:rPr>
              <w:t>Arranges products by molecular viscosity and diurnal safety rules (SPF in AM, Retinol in PM).</w:t>
            </w:r>
          </w:p>
        </w:tc>
      </w:tr>
      <w:tr>
        <w:tc>
          <w:tcPr>
            <w:tcW w:type="dxa" w:w="1872"/>
            <w:tcMar>
              <w:top w:w="100" w:type="dxa"/>
              <w:bottom w:w="100" w:type="dxa"/>
              <w:left w:w="120" w:type="dxa"/>
              <w:right w:w="120" w:type="dxa"/>
            </w:tcMar>
          </w:tcPr>
          <w:p>
            <w:pPr>
              <w:spacing w:after="0"/>
            </w:pPr>
            <w:r>
              <w:rPr>
                <w:sz w:val="19"/>
              </w:rPr>
              <w:t>Retention Agent</w:t>
            </w:r>
          </w:p>
        </w:tc>
        <w:tc>
          <w:tcPr>
            <w:tcW w:type="dxa" w:w="2304"/>
            <w:tcMar>
              <w:top w:w="100" w:type="dxa"/>
              <w:bottom w:w="100" w:type="dxa"/>
              <w:left w:w="120" w:type="dxa"/>
              <w:right w:w="120" w:type="dxa"/>
            </w:tcMar>
          </w:tcPr>
          <w:p>
            <w:pPr>
              <w:spacing w:after="0"/>
            </w:pPr>
            <w:r>
              <w:rPr>
                <w:sz w:val="19"/>
              </w:rPr>
              <w:t>Usage frequency, container volume</w:t>
            </w:r>
          </w:p>
        </w:tc>
        <w:tc>
          <w:tcPr>
            <w:tcW w:type="dxa" w:w="2304"/>
            <w:tcMar>
              <w:top w:w="100" w:type="dxa"/>
              <w:bottom w:w="100" w:type="dxa"/>
              <w:left w:w="120" w:type="dxa"/>
              <w:right w:w="120" w:type="dxa"/>
            </w:tcMar>
          </w:tcPr>
          <w:p>
            <w:pPr>
              <w:spacing w:after="0"/>
            </w:pPr>
            <w:r>
              <w:rPr>
                <w:sz w:val="19"/>
              </w:rPr>
              <w:t>Exhaustion days &amp; reminder dates</w:t>
            </w:r>
          </w:p>
        </w:tc>
        <w:tc>
          <w:tcPr>
            <w:tcW w:type="dxa" w:w="3456"/>
            <w:tcMar>
              <w:top w:w="100" w:type="dxa"/>
              <w:bottom w:w="100" w:type="dxa"/>
              <w:left w:w="120" w:type="dxa"/>
              <w:right w:w="120" w:type="dxa"/>
            </w:tcMar>
          </w:tcPr>
          <w:p>
            <w:pPr>
              <w:spacing w:after="0"/>
            </w:pPr>
            <w:r>
              <w:rPr>
                <w:sz w:val="19"/>
              </w:rPr>
              <w:t>Models formula consumption rates (e.g. 30ml = 45 days) and schedules WhatsApp reorder nudges.</w:t>
            </w:r>
          </w:p>
        </w:tc>
      </w:tr>
    </w:tbl>
    <w:p>
      <w:pPr>
        <w:spacing w:after="80"/>
      </w:pPr>
    </w:p>
    <w:p>
      <w:pPr>
        <w:pStyle w:val="Heading1"/>
        <w:keepNext/>
        <w:spacing w:before="240" w:after="60"/>
      </w:pPr>
      <w:r>
        <w:t>Product workflow</w:t>
      </w:r>
    </w:p>
    <w:p>
      <w:pPr>
        <w:spacing w:after="80" w:line="276" w:lineRule="auto"/>
      </w:pPr>
      <w:r>
        <w:t>The operational workflow from user photo capture to checkout proceeds through 6 structured stages:</w:t>
      </w:r>
    </w:p>
    <w:p>
      <w:pPr>
        <w:pStyle w:val="ListBullet"/>
        <w:spacing w:after="50" w:line="276" w:lineRule="auto"/>
      </w:pPr>
      <w:r>
        <w:rPr>
          <w:b/>
        </w:rPr>
        <w:t xml:space="preserve">Stage 1: </w:t>
      </w:r>
      <w:r>
        <w:t>1. Capture &amp; Mode Selection: User uploads a photo on Joyory and selects scan mode (Advance vs Standard) and budget tier.</w:t>
      </w:r>
    </w:p>
    <w:p>
      <w:pPr>
        <w:pStyle w:val="ListBullet"/>
        <w:spacing w:after="50" w:line="276" w:lineRule="auto"/>
      </w:pPr>
      <w:r>
        <w:rPr>
          <w:b/>
        </w:rPr>
        <w:t xml:space="preserve">Stage 2: </w:t>
      </w:r>
      <w:r>
        <w:t>2. OOD Validation &amp; Visual Extraction: OOD gate validates genuine human skin; Vision Agent extracts calibrated 0-100 biomarkers using Gemini 3.1 Flash-Lite.</w:t>
      </w:r>
    </w:p>
    <w:p>
      <w:pPr>
        <w:pStyle w:val="ListBullet"/>
        <w:spacing w:after="50" w:line="276" w:lineRule="auto"/>
      </w:pPr>
      <w:r>
        <w:rPr>
          <w:b/>
        </w:rPr>
        <w:t xml:space="preserve">Stage 3: </w:t>
      </w:r>
      <w:r>
        <w:t>3. Candidate Retrieval: Recommender Agent queries Joyory's normalized catalog matching primary skin concerns.</w:t>
      </w:r>
    </w:p>
    <w:p>
      <w:pPr>
        <w:pStyle w:val="ListBullet"/>
        <w:spacing w:after="50" w:line="276" w:lineRule="auto"/>
      </w:pPr>
      <w:r>
        <w:rPr>
          <w:b/>
        </w:rPr>
        <w:t xml:space="preserve">Stage 4: </w:t>
      </w:r>
      <w:r>
        <w:t>4. Pharmacological Safety Check: Safety Agent parses INCI actives and flags any contraindications (e.g. Retinol + Glycolic Acid).</w:t>
      </w:r>
    </w:p>
    <w:p>
      <w:pPr>
        <w:pStyle w:val="ListBullet"/>
        <w:spacing w:after="50" w:line="276" w:lineRule="auto"/>
      </w:pPr>
      <w:r>
        <w:rPr>
          <w:b/>
        </w:rPr>
        <w:t xml:space="preserve">Stage 5: </w:t>
      </w:r>
      <w:r>
        <w:t>5. AM/PM Regimen Sequencing: Routine Agent splits products into morning protection and evening repair routines.</w:t>
      </w:r>
    </w:p>
    <w:p>
      <w:pPr>
        <w:pStyle w:val="ListBullet"/>
        <w:spacing w:after="50" w:line="276" w:lineRule="auto"/>
      </w:pPr>
      <w:r>
        <w:rPr>
          <w:b/>
        </w:rPr>
        <w:t xml:space="preserve">Stage 6: </w:t>
      </w:r>
      <w:r>
        <w:t>6. Presentation &amp; Checkout: Frontend renders diagnosis radar, safety shield badges, and 1-click complete routine checkout.</w:t>
      </w:r>
    </w:p>
    <w:p>
      <w:pPr>
        <w:pStyle w:val="Heading1"/>
        <w:keepNext/>
        <w:spacing w:before="240" w:after="60"/>
      </w:pPr>
      <w:r>
        <w:t>Challenges and solutions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2304"/>
            <w:shd w:fill="1F2937" w:val="clear"/>
            <w:tcMar>
              <w:top w:w="100" w:type="dxa"/>
              <w:bottom w:w="100" w:type="dxa"/>
              <w:left w:w="120" w:type="dxa"/>
              <w:right w:w="120" w:type="dxa"/>
            </w:tcMar>
          </w:tcPr>
          <w:p>
            <w:pPr>
              <w:spacing w:after="0"/>
            </w:pPr>
            <w:r>
              <w:rPr>
                <w:b/>
                <w:color w:val="FFFFFF"/>
                <w:sz w:val="19"/>
              </w:rPr>
              <w:t>Challenge Encountered</w:t>
            </w:r>
          </w:p>
        </w:tc>
        <w:tc>
          <w:tcPr>
            <w:tcW w:type="dxa" w:w="3456"/>
            <w:shd w:fill="1F2937" w:val="clear"/>
            <w:tcMar>
              <w:top w:w="100" w:type="dxa"/>
              <w:bottom w:w="100" w:type="dxa"/>
              <w:left w:w="120" w:type="dxa"/>
              <w:right w:w="120" w:type="dxa"/>
            </w:tcMar>
          </w:tcPr>
          <w:p>
            <w:pPr>
              <w:spacing w:after="0"/>
            </w:pPr>
            <w:r>
              <w:rPr>
                <w:b/>
                <w:color w:val="FFFFFF"/>
                <w:sz w:val="19"/>
              </w:rPr>
              <w:t>Root Cause &amp; Risk</w:t>
            </w:r>
          </w:p>
        </w:tc>
        <w:tc>
          <w:tcPr>
            <w:tcW w:type="dxa" w:w="4176"/>
            <w:shd w:fill="1F2937" w:val="clear"/>
            <w:tcMar>
              <w:top w:w="100" w:type="dxa"/>
              <w:bottom w:w="100" w:type="dxa"/>
              <w:left w:w="120" w:type="dxa"/>
              <w:right w:w="120" w:type="dxa"/>
            </w:tcMar>
          </w:tcPr>
          <w:p>
            <w:pPr>
              <w:spacing w:after="0"/>
            </w:pPr>
            <w:r>
              <w:rPr>
                <w:b/>
                <w:color w:val="FFFFFF"/>
                <w:sz w:val="19"/>
              </w:rPr>
              <w:t>Engineering Solution Implemented</w:t>
            </w:r>
          </w:p>
        </w:tc>
      </w:tr>
      <w:tr>
        <w:tc>
          <w:tcPr>
            <w:tcW w:type="dxa" w:w="2304"/>
            <w:tcMar>
              <w:top w:w="100" w:type="dxa"/>
              <w:bottom w:w="100" w:type="dxa"/>
              <w:left w:w="120" w:type="dxa"/>
              <w:right w:w="120" w:type="dxa"/>
            </w:tcMar>
          </w:tcPr>
          <w:p>
            <w:pPr>
              <w:spacing w:after="0"/>
            </w:pPr>
            <w:r>
              <w:rPr>
                <w:sz w:val="19"/>
              </w:rPr>
              <w:t>Non-Skin / Plant Submissions</w:t>
            </w:r>
          </w:p>
        </w:tc>
        <w:tc>
          <w:tcPr>
            <w:tcW w:type="dxa" w:w="3456"/>
            <w:tcMar>
              <w:top w:w="100" w:type="dxa"/>
              <w:bottom w:w="100" w:type="dxa"/>
              <w:left w:w="120" w:type="dxa"/>
              <w:right w:w="120" w:type="dxa"/>
            </w:tcMar>
          </w:tcPr>
          <w:p>
            <w:pPr>
              <w:spacing w:after="0"/>
            </w:pPr>
            <w:r>
              <w:rPr>
                <w:sz w:val="19"/>
              </w:rPr>
              <w:t>Users uploading photos of plants, leaves, or pets causing erroneous skin diagnostics.</w:t>
            </w:r>
          </w:p>
        </w:tc>
        <w:tc>
          <w:tcPr>
            <w:tcW w:type="dxa" w:w="4176"/>
            <w:tcMar>
              <w:top w:w="100" w:type="dxa"/>
              <w:bottom w:w="100" w:type="dxa"/>
              <w:left w:w="120" w:type="dxa"/>
              <w:right w:w="120" w:type="dxa"/>
            </w:tcMar>
          </w:tcPr>
          <w:p>
            <w:pPr>
              <w:spacing w:after="0"/>
            </w:pPr>
            <w:r>
              <w:rPr>
                <w:sz w:val="19"/>
              </w:rPr>
              <w:t>Implemented two-tier multi-spectral chlorophyll/blue gate and semantic AI inspector to reject non-skin subjects.</w:t>
            </w:r>
          </w:p>
        </w:tc>
      </w:tr>
      <w:tr>
        <w:tc>
          <w:tcPr>
            <w:tcW w:type="dxa" w:w="2304"/>
            <w:tcMar>
              <w:top w:w="100" w:type="dxa"/>
              <w:bottom w:w="100" w:type="dxa"/>
              <w:left w:w="120" w:type="dxa"/>
              <w:right w:w="120" w:type="dxa"/>
            </w:tcMar>
          </w:tcPr>
          <w:p>
            <w:pPr>
              <w:spacing w:after="0"/>
            </w:pPr>
            <w:r>
              <w:rPr>
                <w:sz w:val="19"/>
              </w:rPr>
              <w:t>LLM Active Hallucinations</w:t>
            </w:r>
          </w:p>
        </w:tc>
        <w:tc>
          <w:tcPr>
            <w:tcW w:type="dxa" w:w="3456"/>
            <w:tcMar>
              <w:top w:w="100" w:type="dxa"/>
              <w:bottom w:w="100" w:type="dxa"/>
              <w:left w:w="120" w:type="dxa"/>
              <w:right w:w="120" w:type="dxa"/>
            </w:tcMar>
          </w:tcPr>
          <w:p>
            <w:pPr>
              <w:spacing w:after="0"/>
            </w:pPr>
            <w:r>
              <w:rPr>
                <w:sz w:val="19"/>
              </w:rPr>
              <w:t>LLMs frequently provide incorrect advice on chemical pairings (e.g., claiming Retinol + AHA is safe to mix).</w:t>
            </w:r>
          </w:p>
        </w:tc>
        <w:tc>
          <w:tcPr>
            <w:tcW w:type="dxa" w:w="4176"/>
            <w:tcMar>
              <w:top w:w="100" w:type="dxa"/>
              <w:bottom w:w="100" w:type="dxa"/>
              <w:left w:w="120" w:type="dxa"/>
              <w:right w:w="120" w:type="dxa"/>
            </w:tcMar>
          </w:tcPr>
          <w:p>
            <w:pPr>
              <w:spacing w:after="0"/>
            </w:pPr>
            <w:r>
              <w:rPr>
                <w:sz w:val="19"/>
              </w:rPr>
              <w:t>Engineered a deterministic, hardcoded pharmacological rules engine (safety_agent.py) with 100% mathematical certainty.</w:t>
            </w:r>
          </w:p>
        </w:tc>
      </w:tr>
      <w:tr>
        <w:tc>
          <w:tcPr>
            <w:tcW w:type="dxa" w:w="2304"/>
            <w:tcMar>
              <w:top w:w="100" w:type="dxa"/>
              <w:bottom w:w="100" w:type="dxa"/>
              <w:left w:w="120" w:type="dxa"/>
              <w:right w:w="120" w:type="dxa"/>
            </w:tcMar>
          </w:tcPr>
          <w:p>
            <w:pPr>
              <w:spacing w:after="0"/>
            </w:pPr>
            <w:r>
              <w:rPr>
                <w:sz w:val="19"/>
              </w:rPr>
              <w:t>Skin Tone Bias in Vision</w:t>
            </w:r>
          </w:p>
        </w:tc>
        <w:tc>
          <w:tcPr>
            <w:tcW w:type="dxa" w:w="3456"/>
            <w:tcMar>
              <w:top w:w="100" w:type="dxa"/>
              <w:bottom w:w="100" w:type="dxa"/>
              <w:left w:w="120" w:type="dxa"/>
              <w:right w:w="120" w:type="dxa"/>
            </w:tcMar>
          </w:tcPr>
          <w:p>
            <w:pPr>
              <w:spacing w:after="0"/>
            </w:pPr>
            <w:r>
              <w:rPr>
                <w:sz w:val="19"/>
              </w:rPr>
              <w:t>Standard vision models misclassify deeper South Asian skin tones as hyperpigmented or inflamed.</w:t>
            </w:r>
          </w:p>
        </w:tc>
        <w:tc>
          <w:tcPr>
            <w:tcW w:type="dxa" w:w="4176"/>
            <w:tcMar>
              <w:top w:w="100" w:type="dxa"/>
              <w:bottom w:w="100" w:type="dxa"/>
              <w:left w:w="120" w:type="dxa"/>
              <w:right w:w="120" w:type="dxa"/>
            </w:tcMar>
          </w:tcPr>
          <w:p>
            <w:pPr>
              <w:spacing w:after="0"/>
            </w:pPr>
            <w:r>
              <w:rPr>
                <w:sz w:val="19"/>
              </w:rPr>
              <w:t>Integrated Monk Skin Tone (MST 1-10) scale and relative contrast normalization to ensure equitable diagnostic accuracy.</w:t>
            </w:r>
          </w:p>
        </w:tc>
      </w:tr>
      <w:tr>
        <w:tc>
          <w:tcPr>
            <w:tcW w:type="dxa" w:w="2304"/>
            <w:tcMar>
              <w:top w:w="100" w:type="dxa"/>
              <w:bottom w:w="100" w:type="dxa"/>
              <w:left w:w="120" w:type="dxa"/>
              <w:right w:w="120" w:type="dxa"/>
            </w:tcMar>
          </w:tcPr>
          <w:p>
            <w:pPr>
              <w:spacing w:after="0"/>
            </w:pPr>
            <w:r>
              <w:rPr>
                <w:sz w:val="19"/>
              </w:rPr>
              <w:t>Inference Latency Overhead</w:t>
            </w:r>
          </w:p>
        </w:tc>
        <w:tc>
          <w:tcPr>
            <w:tcW w:type="dxa" w:w="3456"/>
            <w:tcMar>
              <w:top w:w="100" w:type="dxa"/>
              <w:bottom w:w="100" w:type="dxa"/>
              <w:left w:w="120" w:type="dxa"/>
              <w:right w:w="120" w:type="dxa"/>
            </w:tcMar>
          </w:tcPr>
          <w:p>
            <w:pPr>
              <w:spacing w:after="0"/>
            </w:pPr>
            <w:r>
              <w:rPr>
                <w:sz w:val="19"/>
              </w:rPr>
              <w:t>Sequential multi-agent LLM calls can take 8-12 seconds, causing frontend timeouts.</w:t>
            </w:r>
          </w:p>
        </w:tc>
        <w:tc>
          <w:tcPr>
            <w:tcW w:type="dxa" w:w="4176"/>
            <w:tcMar>
              <w:top w:w="100" w:type="dxa"/>
              <w:bottom w:w="100" w:type="dxa"/>
              <w:left w:w="120" w:type="dxa"/>
              <w:right w:w="120" w:type="dxa"/>
            </w:tcMar>
          </w:tcPr>
          <w:p>
            <w:pPr>
              <w:spacing w:after="0"/>
            </w:pPr>
            <w:r>
              <w:rPr>
                <w:sz w:val="19"/>
              </w:rPr>
              <w:t>Upgraded to Gemini 3.1 Flash-Lite and local ONNX YOLOv8 runtime, bringing total latency under 1.8 seconds.</w:t>
            </w:r>
          </w:p>
        </w:tc>
      </w:tr>
      <w:tr>
        <w:tc>
          <w:tcPr>
            <w:tcW w:type="dxa" w:w="2304"/>
            <w:tcMar>
              <w:top w:w="100" w:type="dxa"/>
              <w:bottom w:w="100" w:type="dxa"/>
              <w:left w:w="120" w:type="dxa"/>
              <w:right w:w="120" w:type="dxa"/>
            </w:tcMar>
          </w:tcPr>
          <w:p>
            <w:pPr>
              <w:spacing w:after="0"/>
            </w:pPr>
            <w:r>
              <w:rPr>
                <w:sz w:val="19"/>
              </w:rPr>
              <w:t>Product Catalog Cold-Start</w:t>
            </w:r>
          </w:p>
        </w:tc>
        <w:tc>
          <w:tcPr>
            <w:tcW w:type="dxa" w:w="3456"/>
            <w:tcMar>
              <w:top w:w="100" w:type="dxa"/>
              <w:bottom w:w="100" w:type="dxa"/>
              <w:left w:w="120" w:type="dxa"/>
              <w:right w:w="120" w:type="dxa"/>
            </w:tcMar>
          </w:tcPr>
          <w:p>
            <w:pPr>
              <w:spacing w:after="0"/>
            </w:pPr>
            <w:r>
              <w:rPr>
                <w:sz w:val="19"/>
              </w:rPr>
              <w:t>Joyory's live production APIs are restricted during the hackathon environment.</w:t>
            </w:r>
          </w:p>
        </w:tc>
        <w:tc>
          <w:tcPr>
            <w:tcW w:type="dxa" w:w="4176"/>
            <w:tcMar>
              <w:top w:w="100" w:type="dxa"/>
              <w:bottom w:w="100" w:type="dxa"/>
              <w:left w:w="120" w:type="dxa"/>
              <w:right w:w="120" w:type="dxa"/>
            </w:tcMar>
          </w:tcPr>
          <w:p>
            <w:pPr>
              <w:spacing w:after="0"/>
            </w:pPr>
            <w:r>
              <w:rPr>
                <w:sz w:val="19"/>
              </w:rPr>
              <w:t>Scraped and normalized 500+ genuine Joyory storefront SKUs into an indexed local JSON repository with local image fallbacks.</w:t>
            </w:r>
          </w:p>
        </w:tc>
      </w:tr>
    </w:tbl>
    <w:p>
      <w:pPr>
        <w:spacing w:after="80"/>
      </w:pPr>
    </w:p>
    <w:p>
      <w:pPr>
        <w:pStyle w:val="Heading1"/>
        <w:keepNext/>
        <w:spacing w:before="240" w:after="60"/>
      </w:pPr>
      <w:r>
        <w:t>Future scope</w:t>
      </w:r>
    </w:p>
    <w:p>
      <w:pPr>
        <w:pStyle w:val="ListBullet"/>
        <w:spacing w:after="50" w:line="276" w:lineRule="auto"/>
      </w:pPr>
      <w:r>
        <w:rPr>
          <w:b/>
        </w:rPr>
        <w:t xml:space="preserve">• </w:t>
      </w:r>
      <w:r>
        <w:t>WebAR Live Texture Overlay: Real-time browser-based AR showing projected skin improvements over 30/60/90 days of routine adherence.</w:t>
      </w:r>
    </w:p>
    <w:p>
      <w:pPr>
        <w:pStyle w:val="ListBullet"/>
        <w:spacing w:after="50" w:line="276" w:lineRule="auto"/>
      </w:pPr>
      <w:r>
        <w:rPr>
          <w:b/>
        </w:rPr>
        <w:t xml:space="preserve">• </w:t>
      </w:r>
      <w:r>
        <w:t>Dermatologist Tele-Triage: Automated escalation protocol flagging severe Grade 3/4 cystic acne for direct video consultations with certified specialists.</w:t>
      </w:r>
    </w:p>
    <w:p>
      <w:pPr>
        <w:pStyle w:val="ListBullet"/>
        <w:spacing w:after="50" w:line="276" w:lineRule="auto"/>
      </w:pPr>
      <w:r>
        <w:rPr>
          <w:b/>
        </w:rPr>
        <w:t xml:space="preserve">• </w:t>
      </w:r>
      <w:r>
        <w:t>Vernacular Voice Concierge: Audio shopping assistant in 8 Indian regional languages (Hindi, Gujarati, Tamil, Telugu, etc.) to target Tier-2/3 cities.</w:t>
      </w:r>
    </w:p>
    <w:p>
      <w:pPr>
        <w:pStyle w:val="ListBullet"/>
        <w:spacing w:after="50" w:line="276" w:lineRule="auto"/>
      </w:pPr>
      <w:r>
        <w:rPr>
          <w:b/>
        </w:rPr>
        <w:t xml:space="preserve">• </w:t>
      </w:r>
      <w:r>
        <w:t>Direct Joyory Shopify Webhooks: Automated bi-directional inventory sync and tokenized WhatsApp 1-click recurring payments.</w:t>
      </w:r>
    </w:p>
    <w:p>
      <w:pPr>
        <w:spacing w:before="160" w:after="80"/>
      </w:pPr>
      <w:r>
        <w:rPr>
          <w:b/>
        </w:rPr>
        <w:t xml:space="preserve">One-line architecture summary: </w:t>
      </w:r>
      <w:r>
        <w:rPr>
          <w:i/>
        </w:rPr>
        <w:t>"A deterministic multi-agent pipeline that transforms visual perception into safe commerce and compounding customer retention."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