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4BE65" w14:textId="77777777" w:rsidR="00C714AB" w:rsidRDefault="00000000">
      <w:pPr>
        <w:pStyle w:val="Title"/>
      </w:pPr>
      <w:r>
        <w:t>PROJECT MERIDIAN</w:t>
      </w:r>
    </w:p>
    <w:p w14:paraId="63A930AF" w14:textId="77777777" w:rsidR="00C714AB" w:rsidRDefault="00000000">
      <w:r>
        <w:rPr>
          <w:i/>
        </w:rPr>
        <w:t>Preliminary Investment Memorandum | Hypothetical Healthcare LBO</w:t>
      </w:r>
    </w:p>
    <w:p w14:paraId="6CBD9D7C" w14:textId="77777777" w:rsidR="00C714AB" w:rsidRDefault="00000000">
      <w:r>
        <w:t>Target: Spire Healthcare Group plc | Date: 16 October 2026 | Currency: GBP</w:t>
      </w:r>
    </w:p>
    <w:p w14:paraId="414F9E2D" w14:textId="77777777" w:rsidR="00C714AB" w:rsidRDefault="00000000">
      <w:pPr>
        <w:pStyle w:val="Heading1"/>
      </w:pPr>
      <w:r>
        <w:t>Executive view</w:t>
      </w:r>
    </w:p>
    <w:p w14:paraId="2673EF34" w14:textId="77777777" w:rsidR="00C714AB" w:rsidRDefault="00000000">
      <w:r>
        <w:t>Spire Healthcare is a potential case-study candidate for a cash-flow-based healthcare LBO because it operates an established private hospital and healthcare services platform and publishes annual financial reporting.</w:t>
      </w:r>
    </w:p>
    <w:p w14:paraId="48AC62F9" w14:textId="77777777" w:rsidR="00C714AB" w:rsidRDefault="00000000">
      <w:r>
        <w:t>The company’s FY2025 Annual Report and Accounts reports revenue of £1,579.8m and adjusted EBITDA of £268.6m, compared with adjusted EBITDA of £260.0m in 2024; reported revenue growth was 4.5%.</w:t>
      </w:r>
    </w:p>
    <w:p w14:paraId="185DD66E" w14:textId="77777777" w:rsidR="00C714AB" w:rsidRDefault="00000000">
      <w:r>
        <w:t>Preliminary conclusion: proceed to diligence, not to an unconditional investment recommendation. A full recommendation depends on a reconciled purchase-price bridge, lease-adjusted leverage, cash conversion, capex requirements and downside debt-service capacity.</w:t>
      </w:r>
    </w:p>
    <w:p w14:paraId="62F809FC" w14:textId="77777777" w:rsidR="00C714AB" w:rsidRDefault="00000000">
      <w:pPr>
        <w:pStyle w:val="Heading1"/>
      </w:pPr>
      <w:r>
        <w:t>Investment thesis to test</w:t>
      </w:r>
    </w:p>
    <w:p w14:paraId="60A3E216" w14:textId="77777777" w:rsidR="00C714AB" w:rsidRDefault="00000000">
      <w:r>
        <w:t>1. Established service platform: validate utilisation, case mix, payer mix, pricing and clinician capacity.</w:t>
      </w:r>
    </w:p>
    <w:p w14:paraId="0A254228" w14:textId="77777777" w:rsidR="00C714AB" w:rsidRDefault="00000000">
      <w:r>
        <w:t>2. Operational improvement potential: assess theatre utilisation, bed occupancy, length of stay, workforce productivity, procurement and referral pathways. Do not assume savings without an evidence-backed plan.</w:t>
      </w:r>
    </w:p>
    <w:p w14:paraId="5267BC0A" w14:textId="77777777" w:rsidR="00C714AB" w:rsidRDefault="00000000">
      <w:r>
        <w:t>3. Cash generation and deleveraging: assess sustainable cash after staff costs, maintenance capex, working capital, tax, interest and leases.</w:t>
      </w:r>
    </w:p>
    <w:p w14:paraId="70A5BEB8" w14:textId="77777777" w:rsidR="00C714AB" w:rsidRDefault="00000000">
      <w:r>
        <w:t>4. Exit optionality: strategic buyers or future sponsors may value a scaled platform, but exit multiples are uncertain and must not be the primary source of returns.</w:t>
      </w:r>
    </w:p>
    <w:p w14:paraId="2192990C" w14:textId="77777777" w:rsidR="00C714AB" w:rsidRDefault="00000000">
      <w:pPr>
        <w:pStyle w:val="Heading1"/>
      </w:pPr>
      <w:r>
        <w:t>Public financial anchors</w:t>
      </w:r>
    </w:p>
    <w:p w14:paraId="1006331C" w14:textId="77777777" w:rsidR="00C714AB" w:rsidRDefault="00000000">
      <w:r>
        <w:t>FY2025 revenue: £1,579.8m (reported). FY2025 adjusted EBITDA: £268.6m (reported). FY2024 adjusted EBITDA: £260.0m (reported comparative). FY2025 revenue growth: 4.5% (reported).</w:t>
      </w:r>
    </w:p>
    <w:p w14:paraId="58E3732A" w14:textId="77777777" w:rsidR="00C714AB" w:rsidRDefault="00000000">
      <w:r>
        <w:t>Source: https://investors.spirehealthcare.com/investors/annual-report-and-accounts-2025/</w:t>
      </w:r>
    </w:p>
    <w:p w14:paraId="28C602BA" w14:textId="77777777" w:rsidR="00C714AB" w:rsidRDefault="00000000">
      <w:pPr>
        <w:pStyle w:val="Heading1"/>
      </w:pPr>
      <w:r>
        <w:t>Critical diligence</w:t>
      </w:r>
    </w:p>
    <w:p w14:paraId="4F6365B2" w14:textId="77777777" w:rsidR="00C714AB" w:rsidRDefault="00000000">
      <w:r>
        <w:t>Commercial: payer mix, pricing, utilisation, referral concentration and wage/supply inflation.</w:t>
      </w:r>
    </w:p>
    <w:p w14:paraId="33414C7C" w14:textId="77777777" w:rsidR="00C714AB" w:rsidRDefault="00000000">
      <w:r>
        <w:t>Operational: occupancy, theatre utilisation, cancellations, staffing mix, facility condition and maintenance capex.</w:t>
      </w:r>
    </w:p>
    <w:p w14:paraId="6B1FFD52" w14:textId="77777777" w:rsidR="00C714AB" w:rsidRDefault="00000000">
      <w:r>
        <w:t>Financial: EBITDA-to-cash reconciliation; debt/cash/lease/pension bridge; lease-adjusted leverage; interest coverage; debt maturity; covenant headroom; tax and interest deductibility.</w:t>
      </w:r>
    </w:p>
    <w:p w14:paraId="45462F8B" w14:textId="77777777" w:rsidR="00C714AB" w:rsidRDefault="00000000">
      <w:r>
        <w:t>Regulatory and reputational: CQC ratings, clinical governance, patient safety, litigation and reimbursement changes.</w:t>
      </w:r>
    </w:p>
    <w:p w14:paraId="309AD1F8" w14:textId="77777777" w:rsidR="00C714AB" w:rsidRDefault="00000000">
      <w:pPr>
        <w:pStyle w:val="Heading1"/>
      </w:pPr>
      <w:r>
        <w:lastRenderedPageBreak/>
        <w:t>Model limitations</w:t>
      </w:r>
    </w:p>
    <w:p w14:paraId="3E75F534" w14:textId="77777777" w:rsidR="00C714AB" w:rsidRDefault="00000000">
      <w:r>
        <w:t>The accompanying workbook is an initial screening model. Entry/exit multiples, leverage, fees, growth, margin improvement, capex, tax, interest and working capital assumptions are illustrative, not observed transaction terms or company guidance.</w:t>
      </w:r>
    </w:p>
    <w:p w14:paraId="4E4CAB20" w14:textId="77777777" w:rsidR="00C714AB" w:rsidRDefault="00000000">
      <w:r>
        <w:t>The current model does not fully reconcile existing debt and cash, IFRS 16 lease liabilities, pension liabilities, minority interests, financing fees, mandatory amortisation, revolver mechanics, minimum cash or a fully integrated cash flow statement. Its cash sweep is approximate.</w:t>
      </w:r>
    </w:p>
    <w:p w14:paraId="6E4DBF4B" w14:textId="77777777" w:rsidR="00C714AB" w:rsidRDefault="00000000">
      <w:r>
        <w:t>Before using the outputs in an application or interview, extract full historical financials from the annual report, complete the purchase price bridge and sources &amp; uses, incorporate leases and debt-like items, and test base/downside/severe downside cases.</w:t>
      </w:r>
    </w:p>
    <w:p w14:paraId="37B083D4" w14:textId="77777777" w:rsidR="00C714AB" w:rsidRDefault="00000000">
      <w:pPr>
        <w:pStyle w:val="Heading1"/>
      </w:pPr>
      <w:r>
        <w:t>Decision framework</w:t>
      </w:r>
    </w:p>
    <w:p w14:paraId="09BE1EEE" w14:textId="77777777" w:rsidR="00C714AB" w:rsidRDefault="00000000">
      <w:r>
        <w:t>Do not proceed solely because the base-case IRR looks attractive. Require a defensible entry price, evidence-backed operating plan, positive cash conversion after capex/leases/interest, sufficient downside liquidity and covenant headroom, and returns that do not depend primarily on multiple expansion.</w:t>
      </w:r>
    </w:p>
    <w:p w14:paraId="5DB54BCD" w14:textId="77777777" w:rsidR="00C714AB" w:rsidRDefault="00000000">
      <w:pPr>
        <w:pStyle w:val="Heading1"/>
      </w:pPr>
      <w:r>
        <w:t>Disclaimer</w:t>
      </w:r>
    </w:p>
    <w:p w14:paraId="0F29F249" w14:textId="496F1786" w:rsidR="00C714AB" w:rsidRDefault="00000000">
      <w:r>
        <w:t xml:space="preserve">Independent educational analysis. No affiliation with Spire Healthcare, </w:t>
      </w:r>
      <w:r w:rsidR="00144EF7">
        <w:t xml:space="preserve">or </w:t>
      </w:r>
      <w:r>
        <w:t>any investment firm. Not investment advice, a fairness opinion or a representation of an actual transaction.</w:t>
      </w:r>
    </w:p>
    <w:sectPr w:rsidR="00C714A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73500">
    <w:abstractNumId w:val="8"/>
  </w:num>
  <w:num w:numId="2" w16cid:durableId="1469979936">
    <w:abstractNumId w:val="6"/>
  </w:num>
  <w:num w:numId="3" w16cid:durableId="21058548">
    <w:abstractNumId w:val="5"/>
  </w:num>
  <w:num w:numId="4" w16cid:durableId="10962214">
    <w:abstractNumId w:val="4"/>
  </w:num>
  <w:num w:numId="5" w16cid:durableId="948120845">
    <w:abstractNumId w:val="7"/>
  </w:num>
  <w:num w:numId="6" w16cid:durableId="2114938108">
    <w:abstractNumId w:val="3"/>
  </w:num>
  <w:num w:numId="7" w16cid:durableId="30765352">
    <w:abstractNumId w:val="2"/>
  </w:num>
  <w:num w:numId="8" w16cid:durableId="511601881">
    <w:abstractNumId w:val="1"/>
  </w:num>
  <w:num w:numId="9" w16cid:durableId="72811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EF7"/>
    <w:rsid w:val="0015074B"/>
    <w:rsid w:val="0025668C"/>
    <w:rsid w:val="0029639D"/>
    <w:rsid w:val="00326F90"/>
    <w:rsid w:val="00AA1D8D"/>
    <w:rsid w:val="00B47730"/>
    <w:rsid w:val="00C714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3BD05"/>
  <w14:defaultImageDpi w14:val="300"/>
  <w15:docId w15:val="{7CE8AEB1-851E-45AC-9C67-CDC83A70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yuvraj gupta</cp:lastModifiedBy>
  <cp:revision>2</cp:revision>
  <dcterms:created xsi:type="dcterms:W3CDTF">2013-12-23T23:15:00Z</dcterms:created>
  <dcterms:modified xsi:type="dcterms:W3CDTF">2026-10-16T11:42:00Z</dcterms:modified>
  <cp:category/>
</cp:coreProperties>
</file>