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40"/>
        </w:rPr>
        <w:t>ACTIVITY - 2</w:t>
      </w:r>
    </w:p>
    <w:p>
      <w:pPr>
        <w:spacing w:after="160"/>
        <w:jc w:val="center"/>
      </w:pPr>
      <w:r>
        <w:rPr>
          <w:rFonts w:ascii="Arial" w:hAnsi="Arial"/>
          <w:b/>
          <w:color w:val="000000"/>
          <w:sz w:val="22"/>
        </w:rPr>
        <w:t>DESIGN &amp; IMPLEMENTATION OF AN IOT-ENABLED EMBEDDED BIOMETRIC TELEMETRY &amp; ATTENDANCE AUTOMATION SYSTEM USING ESP32, R307 OPTICAL SENSOR &amp; SUPABASE CLOUD</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5018"/>
        <w:gridCol w:w="5018"/>
      </w:tblGrid>
      <w:tr>
        <w:tc>
          <w:tcPr>
            <w:tcW w:type="dxa" w:w="5011"/>
            <w:tcMar>
              <w:top w:w="60" w:type="dxa"/>
              <w:bottom w:w="60" w:type="dxa"/>
              <w:left w:w="100" w:type="dxa"/>
              <w:right w:w="100" w:type="dxa"/>
            </w:tcMar>
          </w:tcPr>
          <w:p>
            <w:pPr>
              <w:spacing w:line="276" w:lineRule="auto"/>
            </w:pPr>
            <w:r>
              <w:rPr>
                <w:rFonts w:ascii="Arial" w:hAnsi="Arial"/>
                <w:b/>
                <w:color w:val="000000"/>
                <w:sz w:val="18"/>
              </w:rPr>
              <w:t xml:space="preserve">Student Name: </w:t>
            </w:r>
            <w:r>
              <w:rPr>
                <w:rFonts w:ascii="Arial" w:hAnsi="Arial"/>
                <w:color w:val="000000"/>
                <w:sz w:val="18"/>
              </w:rPr>
              <w:t>YUVRAJ VILAS LOKHANDE</w:t>
              <w:br/>
            </w:r>
            <w:r>
              <w:rPr>
                <w:rFonts w:ascii="Arial" w:hAnsi="Arial"/>
                <w:b/>
                <w:color w:val="000000"/>
                <w:sz w:val="18"/>
              </w:rPr>
              <w:t xml:space="preserve">University PRN / ERP ID: </w:t>
            </w:r>
            <w:r>
              <w:rPr>
                <w:rFonts w:ascii="Arial" w:hAnsi="Arial"/>
                <w:color w:val="000000"/>
                <w:sz w:val="18"/>
              </w:rPr>
              <w:t>24121227</w:t>
              <w:br/>
            </w:r>
            <w:r>
              <w:rPr>
                <w:rFonts w:ascii="Arial" w:hAnsi="Arial"/>
                <w:b/>
                <w:color w:val="000000"/>
                <w:sz w:val="18"/>
              </w:rPr>
              <w:t xml:space="preserve">Roll / Slot Allocation: </w:t>
            </w:r>
            <w:r>
              <w:rPr>
                <w:rFonts w:ascii="Arial" w:hAnsi="Arial"/>
                <w:color w:val="000000"/>
                <w:sz w:val="18"/>
              </w:rPr>
              <w:t>Slot #16 (Class Cohort of 65 Candidates)</w:t>
              <w:br/>
            </w:r>
            <w:r>
              <w:rPr>
                <w:rFonts w:ascii="Arial" w:hAnsi="Arial"/>
                <w:b/>
                <w:color w:val="000000"/>
                <w:sz w:val="18"/>
              </w:rPr>
              <w:t xml:space="preserve">Class &amp; Semester: </w:t>
            </w:r>
            <w:r>
              <w:rPr>
                <w:rFonts w:ascii="Arial" w:hAnsi="Arial"/>
                <w:color w:val="000000"/>
                <w:sz w:val="18"/>
              </w:rPr>
              <w:t>B.Tech (ETC) | 5th Semester</w:t>
            </w:r>
          </w:p>
        </w:tc>
        <w:tc>
          <w:tcPr>
            <w:tcW w:type="dxa" w:w="5011"/>
            <w:tcMar>
              <w:top w:w="60" w:type="dxa"/>
              <w:bottom w:w="60" w:type="dxa"/>
              <w:left w:w="100" w:type="dxa"/>
              <w:right w:w="100" w:type="dxa"/>
            </w:tcMar>
          </w:tcPr>
          <w:p>
            <w:pPr>
              <w:spacing w:line="276" w:lineRule="auto"/>
            </w:pPr>
            <w:r>
              <w:rPr>
                <w:rFonts w:ascii="Arial" w:hAnsi="Arial"/>
                <w:b/>
                <w:color w:val="000000"/>
                <w:sz w:val="18"/>
              </w:rPr>
              <w:t xml:space="preserve">Course: </w:t>
            </w:r>
            <w:r>
              <w:rPr>
                <w:rFonts w:ascii="Arial" w:hAnsi="Arial"/>
                <w:color w:val="000000"/>
                <w:sz w:val="18"/>
              </w:rPr>
              <w:t>Embedded Systems (ET501T / ET503P)</w:t>
              <w:br/>
            </w:r>
            <w:r>
              <w:rPr>
                <w:rFonts w:ascii="Arial" w:hAnsi="Arial"/>
                <w:b/>
                <w:color w:val="000000"/>
                <w:sz w:val="18"/>
              </w:rPr>
              <w:t xml:space="preserve">Department: </w:t>
            </w:r>
            <w:r>
              <w:rPr>
                <w:rFonts w:ascii="Arial" w:hAnsi="Arial"/>
                <w:color w:val="000000"/>
                <w:sz w:val="18"/>
              </w:rPr>
              <w:t>Electronics &amp; Telecommunication (DTE: EN 4177)</w:t>
              <w:br/>
            </w:r>
            <w:r>
              <w:rPr>
                <w:rFonts w:ascii="Arial" w:hAnsi="Arial"/>
                <w:b/>
                <w:color w:val="000000"/>
                <w:sz w:val="18"/>
              </w:rPr>
              <w:t xml:space="preserve">Institution: </w:t>
            </w:r>
            <w:r>
              <w:rPr>
                <w:rFonts w:ascii="Arial" w:hAnsi="Arial"/>
                <w:color w:val="000000"/>
                <w:sz w:val="18"/>
              </w:rPr>
              <w:t>Priyadarshini Bhagwati College of Engg, Nagpur</w:t>
              <w:br/>
            </w:r>
            <w:r>
              <w:rPr>
                <w:rFonts w:ascii="Arial" w:hAnsi="Arial"/>
                <w:b/>
                <w:color w:val="000000"/>
                <w:sz w:val="18"/>
              </w:rPr>
              <w:t xml:space="preserve">Mentors: </w:t>
            </w:r>
            <w:r>
              <w:rPr>
                <w:rFonts w:ascii="Arial" w:hAnsi="Arial"/>
                <w:color w:val="000000"/>
                <w:sz w:val="18"/>
              </w:rPr>
              <w:t>Mr. Suhas D. Kakde | Dr. Pravin B. Pokle | Dr. A. M. Shende</w:t>
            </w:r>
          </w:p>
        </w:tc>
      </w:tr>
    </w:tbl>
    <w:p>
      <w:pPr>
        <w:spacing w:before="160" w:after="80"/>
      </w:pPr>
      <w:r>
        <w:rPr>
          <w:rFonts w:ascii="Arial" w:hAnsi="Arial"/>
          <w:b/>
          <w:color w:val="000000"/>
          <w:sz w:val="23"/>
        </w:rPr>
        <w:t>1. INTRODUCTION &amp; PROJECT BACKGROUND</w:t>
      </w:r>
    </w:p>
    <w:p>
      <w:pPr>
        <w:spacing w:after="100" w:line="288" w:lineRule="auto"/>
      </w:pPr>
      <w:r>
        <w:rPr>
          <w:rFonts w:ascii="Arial" w:hAnsi="Arial"/>
          <w:color w:val="000000"/>
          <w:sz w:val="20"/>
        </w:rPr>
        <w:t>In contemporary higher education institutions, manual pen-and-paper attendance logging remains prone to severe operational inefficiencies, including fraudulent proxy roll calls, physical ledger loss, transcription errors during sessional auditing, and substantial faculty instructional time loss during laboratory periods. Under the National Education Policy (NEP 2020) experiential learning framework, this laboratory activity focuses on the complete practical design, circuit interfacing, firmware programming, and deployment of a cost-optimized, standalone IoT-Enabled Biometric Attendance Telemetry System.</w:t>
      </w:r>
    </w:p>
    <w:p>
      <w:pPr>
        <w:spacing w:after="100" w:line="288" w:lineRule="auto"/>
      </w:pPr>
      <w:r>
        <w:rPr>
          <w:rFonts w:ascii="Arial" w:hAnsi="Arial"/>
          <w:color w:val="000000"/>
          <w:sz w:val="20"/>
        </w:rPr>
        <w:t>The engineered embedded device incorporates an ESP32 dual-core Xtensa 32-bit LX6 microcontroller directly interfaced to an industrial R307 optical fingerprint sensor and an active piezo acoustic confirmation chime. The node connects autonomously to campus Wi-Fi infrastructure to transmit cryptographic HTTPS REST payloads to a serverless Supabase PostgreSQL cloud database, synchronizing student attendance records in less than 350 milliseconds with the department web portal (etcianspbcoe.dpdns.org) without requiring an attached host computer or commercial software licenses.</w:t>
      </w:r>
    </w:p>
    <w:p>
      <w:pPr>
        <w:spacing w:before="160" w:after="80"/>
      </w:pPr>
      <w:r>
        <w:rPr>
          <w:rFonts w:ascii="Arial" w:hAnsi="Arial"/>
          <w:b/>
          <w:color w:val="000000"/>
          <w:sz w:val="23"/>
        </w:rPr>
        <w:t>2. THEORETICAL PRINCIPLES OF BIOMETRIC SENSING &amp; OPTICAL FTIR PHYSICS</w:t>
      </w:r>
    </w:p>
    <w:p>
      <w:pPr>
        <w:spacing w:after="100" w:line="288" w:lineRule="auto"/>
      </w:pPr>
      <w:r>
        <w:rPr>
          <w:rFonts w:ascii="Arial" w:hAnsi="Arial"/>
          <w:color w:val="000000"/>
          <w:sz w:val="20"/>
        </w:rPr>
        <w:t>Biometric identification is grounded in the physiological permanence and uniqueness of human friction ridges on the epidermis. While global ridge geometries follow archetypal classes (loops, whorls, and arches), individual biometric differentiation is established through localized ridge anomalies termed Minutiae Points — predominantly ridge endings (abrupt terminations of friction ridges) and ridge bifurcations (points where a single friction ridge diverges into two distinct branches).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Optical Sensing Physics (Frustrated Total Internal Reflection - FTIR):</w:t>
              <w:br/>
            </w:r>
            <w:r>
              <w:rPr>
                <w:rFonts w:ascii="Arial" w:hAnsi="Arial"/>
                <w:color w:val="000000"/>
                <w:sz w:val="19"/>
              </w:rPr>
              <w:t>The R307 sensor employs an optical glass prism illuminated by internal blue/red LEDs at an incident angle exceeding the critical angle (θc). When dry air contacts the polished glass hypotenuse, Total Internal Reflection (TIR) occurs, projecting 100% of incident light onto the internal 256x288 pixel CMOS photodiode array, producing a bright uniform image. When a student places a finger against the prism surface, elevated epidermal ridges make direct optical contact with the glass, eliminating the refractive index mismatch and frustrating total reflection. Light escapes through the skin ridges, resulting in high-contrast dark pixels, whereas recessed valleys maintain an air gap, producing bright reflections.</w:t>
            </w:r>
          </w:p>
        </w:tc>
      </w:tr>
    </w:tbl>
    <w:p>
      <w:pPr>
        <w:spacing w:after="100" w:line="288" w:lineRule="auto"/>
      </w:pPr>
      <w:r>
        <w:rPr>
          <w:rFonts w:ascii="Arial" w:hAnsi="Arial"/>
          <w:color w:val="000000"/>
          <w:sz w:val="20"/>
        </w:rPr>
        <w:t>The integrated digital signal processor (DSP) inside the R307 digitizes this optical raw image at 500 DPI spatial resolution. Ridge filtering and binarization algorithms isolate minutiae coordinate vectors (x, y, θ), condensing them into an irreversible 512-byte mathematical characterization template. During live authentication, this template is matched against stored templates across flash slots #1 to #65 via high-speed 1:N correlation.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Mathematical Formulation of FTIR Critical Angle:</w:t>
              <w:br/>
            </w:r>
            <w:r>
              <w:rPr>
                <w:rFonts w:ascii="Arial" w:hAnsi="Arial"/>
                <w:color w:val="000000"/>
                <w:sz w:val="19"/>
              </w:rPr>
              <w:t>The critical angle θc is governed by Snell's Law: θc = arcsin(n_medium / n_glass). For glass (n ≈ 1.52) and air (n ≈ 1.00), θc ≈ 41.1°. When epidermal ridges (n ≈ 1.44) make contact, θc increases to ≈ 71.3°, completely frustrating total internal reflection and producing sharp, high-contrast dark ridges on the optical sensor plane.</w:t>
            </w:r>
          </w:p>
        </w:tc>
      </w:tr>
    </w:tbl>
    <w:p>
      <w:pPr>
        <w:jc w:val="right"/>
      </w:pPr>
      <w:r>
        <w:rPr>
          <w:rFonts w:ascii="Arial" w:hAnsi="Arial"/>
          <w:b/>
          <w:color w:val="000000"/>
          <w:sz w:val="16"/>
        </w:rPr>
        <w:t>PBCOE Department of Electronics &amp; Telecommunication Engineering | Embedded Systems | Activity - 2 | Page 1 of 6</w:t>
      </w:r>
    </w:p>
    <w:p>
      <w:r>
        <w:br w:type="page"/>
      </w:r>
    </w:p>
    <w:p>
      <w:pPr>
        <w:spacing w:after="120"/>
        <w:jc w:val="right"/>
      </w:pPr>
      <w:r>
        <w:rPr>
          <w:rFonts w:ascii="Arial" w:hAnsi="Arial"/>
          <w:b/>
          <w:color w:val="000000"/>
          <w:sz w:val="17"/>
        </w:rPr>
        <w:t>ACTIVITY - 2 // EMBEDDED SYSTEMS (ET501T / ET503P) — YUVRAJ LOKHANDE | PRN: 24121227</w:t>
      </w:r>
    </w:p>
    <w:p>
      <w:pPr>
        <w:spacing w:before="160" w:after="80"/>
      </w:pPr>
      <w:r>
        <w:rPr>
          <w:rFonts w:ascii="Arial" w:hAnsi="Arial"/>
          <w:b/>
          <w:color w:val="000000"/>
          <w:sz w:val="23"/>
        </w:rPr>
        <w:t>3. COMPONENTS REQUIRED (BILL OF MATERIALS &amp; HARDWARE INVESTMENT)</w:t>
      </w:r>
    </w:p>
    <w:p>
      <w:pPr>
        <w:spacing w:after="100" w:line="288" w:lineRule="auto"/>
      </w:pPr>
      <w:r>
        <w:rPr>
          <w:rFonts w:ascii="Arial" w:hAnsi="Arial"/>
          <w:color w:val="000000"/>
          <w:sz w:val="20"/>
        </w:rPr>
        <w:t>A foundational objective of this laboratory project was rigorous cost engineering: validating that institutional-grade biometric telemetry can be realized on a minimal budget. The complete operational hardware prototype was fabricated for an exact expenditure of ₹1,000, with zero recurring cloud or software licensing fees: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007"/>
        <w:gridCol w:w="2007"/>
        <w:gridCol w:w="2007"/>
        <w:gridCol w:w="2007"/>
        <w:gridCol w:w="2007"/>
      </w:tblGrid>
      <w:tr>
        <w:tc>
          <w:tcPr>
            <w:tcW w:type="dxa" w:w="2007"/>
            <w:tcMar>
              <w:top w:w="35" w:type="dxa"/>
              <w:bottom w:w="35" w:type="dxa"/>
              <w:left w:w="55" w:type="dxa"/>
              <w:right w:w="55" w:type="dxa"/>
            </w:tcMar>
            <w:shd w:fill="000000"/>
          </w:tcPr>
          <w:p>
            <w:r>
              <w:rPr>
                <w:rFonts w:ascii="Arial" w:hAnsi="Arial"/>
                <w:b/>
                <w:color w:val="FFFFFF"/>
                <w:sz w:val="17"/>
              </w:rPr>
              <w:t>Sr.</w:t>
            </w:r>
          </w:p>
        </w:tc>
        <w:tc>
          <w:tcPr>
            <w:tcW w:type="dxa" w:w="2007"/>
            <w:tcMar>
              <w:top w:w="35" w:type="dxa"/>
              <w:bottom w:w="35" w:type="dxa"/>
              <w:left w:w="55" w:type="dxa"/>
              <w:right w:w="55" w:type="dxa"/>
            </w:tcMar>
            <w:shd w:fill="000000"/>
          </w:tcPr>
          <w:p>
            <w:r>
              <w:rPr>
                <w:rFonts w:ascii="Arial" w:hAnsi="Arial"/>
                <w:b/>
                <w:color w:val="FFFFFF"/>
                <w:sz w:val="17"/>
              </w:rPr>
              <w:t>Component Name &amp; Model</w:t>
            </w:r>
          </w:p>
        </w:tc>
        <w:tc>
          <w:tcPr>
            <w:tcW w:type="dxa" w:w="2007"/>
            <w:tcMar>
              <w:top w:w="35" w:type="dxa"/>
              <w:bottom w:w="35" w:type="dxa"/>
              <w:left w:w="55" w:type="dxa"/>
              <w:right w:w="55" w:type="dxa"/>
            </w:tcMar>
            <w:shd w:fill="000000"/>
          </w:tcPr>
          <w:p>
            <w:r>
              <w:rPr>
                <w:rFonts w:ascii="Arial" w:hAnsi="Arial"/>
                <w:b/>
                <w:color w:val="FFFFFF"/>
                <w:sz w:val="17"/>
              </w:rPr>
              <w:t>Technical Specifications</w:t>
            </w:r>
          </w:p>
        </w:tc>
        <w:tc>
          <w:tcPr>
            <w:tcW w:type="dxa" w:w="2007"/>
            <w:tcMar>
              <w:top w:w="35" w:type="dxa"/>
              <w:bottom w:w="35" w:type="dxa"/>
              <w:left w:w="55" w:type="dxa"/>
              <w:right w:w="55" w:type="dxa"/>
            </w:tcMar>
            <w:shd w:fill="000000"/>
          </w:tcPr>
          <w:p>
            <w:r>
              <w:rPr>
                <w:rFonts w:ascii="Arial" w:hAnsi="Arial"/>
                <w:b/>
                <w:color w:val="FFFFFF"/>
                <w:sz w:val="17"/>
              </w:rPr>
              <w:t>Qty</w:t>
            </w:r>
          </w:p>
        </w:tc>
        <w:tc>
          <w:tcPr>
            <w:tcW w:type="dxa" w:w="2007"/>
            <w:tcMar>
              <w:top w:w="35" w:type="dxa"/>
              <w:bottom w:w="35" w:type="dxa"/>
              <w:left w:w="55" w:type="dxa"/>
              <w:right w:w="55" w:type="dxa"/>
            </w:tcMar>
            <w:shd w:fill="000000"/>
          </w:tcPr>
          <w:p>
            <w:r>
              <w:rPr>
                <w:rFonts w:ascii="Arial" w:hAnsi="Arial"/>
                <w:b/>
                <w:color w:val="FFFFFF"/>
                <w:sz w:val="17"/>
              </w:rPr>
              <w:t>Cost (INR)</w:t>
            </w:r>
          </w:p>
        </w:tc>
      </w:tr>
      <w:tr>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ESP32 NodeMCU-32S</w:t>
            </w:r>
          </w:p>
        </w:tc>
        <w:tc>
          <w:tcPr>
            <w:tcW w:type="dxa" w:w="2007"/>
            <w:tcMar>
              <w:top w:w="35" w:type="dxa"/>
              <w:bottom w:w="35" w:type="dxa"/>
              <w:left w:w="55" w:type="dxa"/>
              <w:right w:w="55" w:type="dxa"/>
            </w:tcMar>
          </w:tcPr>
          <w:p>
            <w:r>
              <w:rPr>
                <w:rFonts w:ascii="Arial" w:hAnsi="Arial"/>
                <w:color w:val="000000"/>
                <w:sz w:val="17"/>
              </w:rPr>
              <w:t>Dual-Core Xtensa LX6 @ 240MHz, 520KB SRAM, 802.11 b/g/n Wi-Fi, BLE 4.2</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₹380</w:t>
            </w:r>
          </w:p>
        </w:tc>
      </w:tr>
      <w:tr>
        <w:tc>
          <w:tcPr>
            <w:tcW w:type="dxa" w:w="2007"/>
            <w:tcMar>
              <w:top w:w="35" w:type="dxa"/>
              <w:bottom w:w="35" w:type="dxa"/>
              <w:left w:w="55" w:type="dxa"/>
              <w:right w:w="55" w:type="dxa"/>
            </w:tcMar>
          </w:tcPr>
          <w:p>
            <w:r>
              <w:rPr>
                <w:rFonts w:ascii="Arial" w:hAnsi="Arial"/>
                <w:color w:val="000000"/>
                <w:sz w:val="17"/>
              </w:rPr>
              <w:t>2</w:t>
            </w:r>
          </w:p>
        </w:tc>
        <w:tc>
          <w:tcPr>
            <w:tcW w:type="dxa" w:w="2007"/>
            <w:tcMar>
              <w:top w:w="35" w:type="dxa"/>
              <w:bottom w:w="35" w:type="dxa"/>
              <w:left w:w="55" w:type="dxa"/>
              <w:right w:w="55" w:type="dxa"/>
            </w:tcMar>
          </w:tcPr>
          <w:p>
            <w:r>
              <w:rPr>
                <w:rFonts w:ascii="Arial" w:hAnsi="Arial"/>
                <w:color w:val="000000"/>
                <w:sz w:val="17"/>
              </w:rPr>
              <w:t>R307 Optical Biometric Sensor</w:t>
            </w:r>
          </w:p>
        </w:tc>
        <w:tc>
          <w:tcPr>
            <w:tcW w:type="dxa" w:w="2007"/>
            <w:tcMar>
              <w:top w:w="35" w:type="dxa"/>
              <w:bottom w:w="35" w:type="dxa"/>
              <w:left w:w="55" w:type="dxa"/>
              <w:right w:w="55" w:type="dxa"/>
            </w:tcMar>
          </w:tcPr>
          <w:p>
            <w:r>
              <w:rPr>
                <w:rFonts w:ascii="Arial" w:hAnsi="Arial"/>
                <w:color w:val="000000"/>
                <w:sz w:val="17"/>
              </w:rPr>
              <w:t>500 DPI optical prism, 1,000 template internal flash, UART TTL (57600 baud)</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₹520</w:t>
            </w:r>
          </w:p>
        </w:tc>
      </w:tr>
      <w:tr>
        <w:tc>
          <w:tcPr>
            <w:tcW w:type="dxa" w:w="2007"/>
            <w:tcMar>
              <w:top w:w="35" w:type="dxa"/>
              <w:bottom w:w="35" w:type="dxa"/>
              <w:left w:w="55" w:type="dxa"/>
              <w:right w:w="55" w:type="dxa"/>
            </w:tcMar>
          </w:tcPr>
          <w:p>
            <w:r>
              <w:rPr>
                <w:rFonts w:ascii="Arial" w:hAnsi="Arial"/>
                <w:color w:val="000000"/>
                <w:sz w:val="17"/>
              </w:rPr>
              <w:t>3</w:t>
            </w:r>
          </w:p>
        </w:tc>
        <w:tc>
          <w:tcPr>
            <w:tcW w:type="dxa" w:w="2007"/>
            <w:tcMar>
              <w:top w:w="35" w:type="dxa"/>
              <w:bottom w:w="35" w:type="dxa"/>
              <w:left w:w="55" w:type="dxa"/>
              <w:right w:w="55" w:type="dxa"/>
            </w:tcMar>
          </w:tcPr>
          <w:p>
            <w:r>
              <w:rPr>
                <w:rFonts w:ascii="Arial" w:hAnsi="Arial"/>
                <w:color w:val="000000"/>
                <w:sz w:val="17"/>
              </w:rPr>
              <w:t>Active Piezo Buzzer (5V)</w:t>
            </w:r>
          </w:p>
        </w:tc>
        <w:tc>
          <w:tcPr>
            <w:tcW w:type="dxa" w:w="2007"/>
            <w:tcMar>
              <w:top w:w="35" w:type="dxa"/>
              <w:bottom w:w="35" w:type="dxa"/>
              <w:left w:w="55" w:type="dxa"/>
              <w:right w:w="55" w:type="dxa"/>
            </w:tcMar>
          </w:tcPr>
          <w:p>
            <w:r>
              <w:rPr>
                <w:rFonts w:ascii="Arial" w:hAnsi="Arial"/>
                <w:color w:val="000000"/>
                <w:sz w:val="17"/>
              </w:rPr>
              <w:t>Continuous acoustic chime transducer for scan pass/fail audio confirmation</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₹15</w:t>
            </w:r>
          </w:p>
        </w:tc>
      </w:tr>
      <w:tr>
        <w:tc>
          <w:tcPr>
            <w:tcW w:type="dxa" w:w="2007"/>
            <w:tcMar>
              <w:top w:w="35" w:type="dxa"/>
              <w:bottom w:w="35" w:type="dxa"/>
              <w:left w:w="55" w:type="dxa"/>
              <w:right w:w="55" w:type="dxa"/>
            </w:tcMar>
          </w:tcPr>
          <w:p>
            <w:r>
              <w:rPr>
                <w:rFonts w:ascii="Arial" w:hAnsi="Arial"/>
                <w:color w:val="000000"/>
                <w:sz w:val="17"/>
              </w:rPr>
              <w:t>4</w:t>
            </w:r>
          </w:p>
        </w:tc>
        <w:tc>
          <w:tcPr>
            <w:tcW w:type="dxa" w:w="2007"/>
            <w:tcMar>
              <w:top w:w="35" w:type="dxa"/>
              <w:bottom w:w="35" w:type="dxa"/>
              <w:left w:w="55" w:type="dxa"/>
              <w:right w:w="55" w:type="dxa"/>
            </w:tcMar>
          </w:tcPr>
          <w:p>
            <w:r>
              <w:rPr>
                <w:rFonts w:ascii="Arial" w:hAnsi="Arial"/>
                <w:color w:val="000000"/>
                <w:sz w:val="17"/>
              </w:rPr>
              <w:t>Solderless Breadboard (400-Point)</w:t>
            </w:r>
          </w:p>
        </w:tc>
        <w:tc>
          <w:tcPr>
            <w:tcW w:type="dxa" w:w="2007"/>
            <w:tcMar>
              <w:top w:w="35" w:type="dxa"/>
              <w:bottom w:w="35" w:type="dxa"/>
              <w:left w:w="55" w:type="dxa"/>
              <w:right w:w="55" w:type="dxa"/>
            </w:tcMar>
          </w:tcPr>
          <w:p>
            <w:r>
              <w:rPr>
                <w:rFonts w:ascii="Arial" w:hAnsi="Arial"/>
                <w:color w:val="000000"/>
                <w:sz w:val="17"/>
              </w:rPr>
              <w:t>Standard 2.54mm pitch prototyping rail with dedicated power distribution rails</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₹45</w:t>
            </w:r>
          </w:p>
        </w:tc>
      </w:tr>
      <w:tr>
        <w:tc>
          <w:tcPr>
            <w:tcW w:type="dxa" w:w="2007"/>
            <w:tcMar>
              <w:top w:w="35" w:type="dxa"/>
              <w:bottom w:w="35" w:type="dxa"/>
              <w:left w:w="55" w:type="dxa"/>
              <w:right w:w="55" w:type="dxa"/>
            </w:tcMar>
          </w:tcPr>
          <w:p>
            <w:r>
              <w:rPr>
                <w:rFonts w:ascii="Arial" w:hAnsi="Arial"/>
                <w:color w:val="000000"/>
                <w:sz w:val="17"/>
              </w:rPr>
              <w:t>5</w:t>
            </w:r>
          </w:p>
        </w:tc>
        <w:tc>
          <w:tcPr>
            <w:tcW w:type="dxa" w:w="2007"/>
            <w:tcMar>
              <w:top w:w="35" w:type="dxa"/>
              <w:bottom w:w="35" w:type="dxa"/>
              <w:left w:w="55" w:type="dxa"/>
              <w:right w:w="55" w:type="dxa"/>
            </w:tcMar>
          </w:tcPr>
          <w:p>
            <w:r>
              <w:rPr>
                <w:rFonts w:ascii="Arial" w:hAnsi="Arial"/>
                <w:color w:val="000000"/>
                <w:sz w:val="17"/>
              </w:rPr>
              <w:t>Dupont Jumper Cables (M-M / M-F)</w:t>
            </w:r>
          </w:p>
        </w:tc>
        <w:tc>
          <w:tcPr>
            <w:tcW w:type="dxa" w:w="2007"/>
            <w:tcMar>
              <w:top w:w="35" w:type="dxa"/>
              <w:bottom w:w="35" w:type="dxa"/>
              <w:left w:w="55" w:type="dxa"/>
              <w:right w:w="55" w:type="dxa"/>
            </w:tcMar>
          </w:tcPr>
          <w:p>
            <w:r>
              <w:rPr>
                <w:rFonts w:ascii="Arial" w:hAnsi="Arial"/>
                <w:color w:val="000000"/>
                <w:sz w:val="17"/>
              </w:rPr>
              <w:t>24 AWG flexible multi-colored stranded connection wires with gold-plated pins</w:t>
            </w:r>
          </w:p>
        </w:tc>
        <w:tc>
          <w:tcPr>
            <w:tcW w:type="dxa" w:w="2007"/>
            <w:tcMar>
              <w:top w:w="35" w:type="dxa"/>
              <w:bottom w:w="35" w:type="dxa"/>
              <w:left w:w="55" w:type="dxa"/>
              <w:right w:w="55" w:type="dxa"/>
            </w:tcMar>
          </w:tcPr>
          <w:p>
            <w:r>
              <w:rPr>
                <w:rFonts w:ascii="Arial" w:hAnsi="Arial"/>
                <w:color w:val="000000"/>
                <w:sz w:val="17"/>
              </w:rPr>
              <w:t>1 Set</w:t>
            </w:r>
          </w:p>
        </w:tc>
        <w:tc>
          <w:tcPr>
            <w:tcW w:type="dxa" w:w="2007"/>
            <w:tcMar>
              <w:top w:w="35" w:type="dxa"/>
              <w:bottom w:w="35" w:type="dxa"/>
              <w:left w:w="55" w:type="dxa"/>
              <w:right w:w="55" w:type="dxa"/>
            </w:tcMar>
          </w:tcPr>
          <w:p>
            <w:r>
              <w:rPr>
                <w:rFonts w:ascii="Arial" w:hAnsi="Arial"/>
                <w:color w:val="000000"/>
                <w:sz w:val="17"/>
              </w:rPr>
              <w:t>₹40</w:t>
            </w:r>
          </w:p>
        </w:tc>
      </w:tr>
      <w:tr>
        <w:tc>
          <w:tcPr>
            <w:tcW w:type="dxa" w:w="2007"/>
            <w:tcMar>
              <w:top w:w="35" w:type="dxa"/>
              <w:bottom w:w="35" w:type="dxa"/>
              <w:left w:w="55" w:type="dxa"/>
              <w:right w:w="55" w:type="dxa"/>
            </w:tcMar>
          </w:tcPr>
          <w:p>
            <w:r>
              <w:rPr>
                <w:rFonts w:ascii="Arial" w:hAnsi="Arial"/>
                <w:color w:val="000000"/>
                <w:sz w:val="17"/>
              </w:rPr>
              <w:t>6</w:t>
            </w:r>
          </w:p>
        </w:tc>
        <w:tc>
          <w:tcPr>
            <w:tcW w:type="dxa" w:w="2007"/>
            <w:tcMar>
              <w:top w:w="35" w:type="dxa"/>
              <w:bottom w:w="35" w:type="dxa"/>
              <w:left w:w="55" w:type="dxa"/>
              <w:right w:w="55" w:type="dxa"/>
            </w:tcMar>
          </w:tcPr>
          <w:p>
            <w:r>
              <w:rPr>
                <w:rFonts w:ascii="Arial" w:hAnsi="Arial"/>
                <w:color w:val="000000"/>
                <w:sz w:val="17"/>
              </w:rPr>
              <w:t>Micro-USB Power Interface</w:t>
            </w:r>
          </w:p>
        </w:tc>
        <w:tc>
          <w:tcPr>
            <w:tcW w:type="dxa" w:w="2007"/>
            <w:tcMar>
              <w:top w:w="35" w:type="dxa"/>
              <w:bottom w:w="35" w:type="dxa"/>
              <w:left w:w="55" w:type="dxa"/>
              <w:right w:w="55" w:type="dxa"/>
            </w:tcMar>
          </w:tcPr>
          <w:p>
            <w:r>
              <w:rPr>
                <w:rFonts w:ascii="Arial" w:hAnsi="Arial"/>
                <w:color w:val="000000"/>
                <w:sz w:val="17"/>
              </w:rPr>
              <w:t>Regulated 5V / 1A power delivery via laptop terminal or phone charger adapter</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₹0 (Lab Stock)</w:t>
            </w:r>
          </w:p>
        </w:tc>
      </w:tr>
      <w:tr>
        <w:tc>
          <w:tcPr>
            <w:tcW w:type="dxa" w:w="2007"/>
            <w:tcMar>
              <w:top w:w="35" w:type="dxa"/>
              <w:bottom w:w="35" w:type="dxa"/>
              <w:left w:w="55" w:type="dxa"/>
              <w:right w:w="55" w:type="dxa"/>
            </w:tcMar>
          </w:tcPr>
          <w:p>
            <w:r>
              <w:rPr>
                <w:rFonts w:ascii="Arial" w:hAnsi="Arial"/>
                <w:color w:val="000000"/>
                <w:sz w:val="17"/>
              </w:rPr>
              <w:t>7</w:t>
            </w:r>
          </w:p>
        </w:tc>
        <w:tc>
          <w:tcPr>
            <w:tcW w:type="dxa" w:w="2007"/>
            <w:tcMar>
              <w:top w:w="35" w:type="dxa"/>
              <w:bottom w:w="35" w:type="dxa"/>
              <w:left w:w="55" w:type="dxa"/>
              <w:right w:w="55" w:type="dxa"/>
            </w:tcMar>
          </w:tcPr>
          <w:p>
            <w:r>
              <w:rPr>
                <w:rFonts w:ascii="Arial" w:hAnsi="Arial"/>
                <w:color w:val="000000"/>
                <w:sz w:val="17"/>
              </w:rPr>
              <w:t>Supabase PostgreSQL Database</w:t>
            </w:r>
          </w:p>
        </w:tc>
        <w:tc>
          <w:tcPr>
            <w:tcW w:type="dxa" w:w="2007"/>
            <w:tcMar>
              <w:top w:w="35" w:type="dxa"/>
              <w:bottom w:w="35" w:type="dxa"/>
              <w:left w:w="55" w:type="dxa"/>
              <w:right w:w="55" w:type="dxa"/>
            </w:tcMar>
          </w:tcPr>
          <w:p>
            <w:r>
              <w:rPr>
                <w:rFonts w:ascii="Arial" w:hAnsi="Arial"/>
                <w:color w:val="000000"/>
                <w:sz w:val="17"/>
              </w:rPr>
              <w:t>Serverless cloud PostgreSQL, RESTful HTTPS API, real-time WebSocket stream</w:t>
            </w:r>
          </w:p>
        </w:tc>
        <w:tc>
          <w:tcPr>
            <w:tcW w:type="dxa" w:w="2007"/>
            <w:tcMar>
              <w:top w:w="35" w:type="dxa"/>
              <w:bottom w:w="35" w:type="dxa"/>
              <w:left w:w="55" w:type="dxa"/>
              <w:right w:w="55" w:type="dxa"/>
            </w:tcMar>
          </w:tcPr>
          <w:p>
            <w:r>
              <w:rPr>
                <w:rFonts w:ascii="Arial" w:hAnsi="Arial"/>
                <w:color w:val="000000"/>
                <w:sz w:val="17"/>
              </w:rPr>
              <w:t>Cloud</w:t>
            </w:r>
          </w:p>
        </w:tc>
        <w:tc>
          <w:tcPr>
            <w:tcW w:type="dxa" w:w="2007"/>
            <w:tcMar>
              <w:top w:w="35" w:type="dxa"/>
              <w:bottom w:w="35" w:type="dxa"/>
              <w:left w:w="55" w:type="dxa"/>
              <w:right w:w="55" w:type="dxa"/>
            </w:tcMar>
          </w:tcPr>
          <w:p>
            <w:r>
              <w:rPr>
                <w:rFonts w:ascii="Arial" w:hAnsi="Arial"/>
                <w:color w:val="000000"/>
                <w:sz w:val="17"/>
              </w:rPr>
              <w:t>₹0.00 (Free Tier)</w:t>
            </w:r>
          </w:p>
        </w:tc>
      </w:tr>
      <w:tr>
        <w:tc>
          <w:tcPr>
            <w:tcW w:type="dxa" w:w="2007"/>
            <w:tcMar>
              <w:top w:w="35" w:type="dxa"/>
              <w:bottom w:w="35" w:type="dxa"/>
              <w:left w:w="55" w:type="dxa"/>
              <w:right w:w="55" w:type="dxa"/>
            </w:tcMar>
          </w:tcPr>
          <w:p>
            <w:r>
              <w:rPr>
                <w:rFonts w:ascii="Arial" w:hAnsi="Arial"/>
                <w:color w:val="000000"/>
                <w:sz w:val="17"/>
              </w:rPr>
              <w:t>8</w:t>
            </w:r>
          </w:p>
        </w:tc>
        <w:tc>
          <w:tcPr>
            <w:tcW w:type="dxa" w:w="2007"/>
            <w:tcMar>
              <w:top w:w="35" w:type="dxa"/>
              <w:bottom w:w="35" w:type="dxa"/>
              <w:left w:w="55" w:type="dxa"/>
              <w:right w:w="55" w:type="dxa"/>
            </w:tcMar>
          </w:tcPr>
          <w:p>
            <w:r>
              <w:rPr>
                <w:rFonts w:ascii="Arial" w:hAnsi="Arial"/>
                <w:color w:val="000000"/>
                <w:sz w:val="17"/>
              </w:rPr>
              <w:t>Web Portal Hosting (GitHub Pages)</w:t>
            </w:r>
          </w:p>
        </w:tc>
        <w:tc>
          <w:tcPr>
            <w:tcW w:type="dxa" w:w="2007"/>
            <w:tcMar>
              <w:top w:w="35" w:type="dxa"/>
              <w:bottom w:w="35" w:type="dxa"/>
              <w:left w:w="55" w:type="dxa"/>
              <w:right w:w="55" w:type="dxa"/>
            </w:tcMar>
          </w:tcPr>
          <w:p>
            <w:r>
              <w:rPr>
                <w:rFonts w:ascii="Arial" w:hAnsi="Arial"/>
                <w:color w:val="000000"/>
                <w:sz w:val="17"/>
              </w:rPr>
              <w:t>Global edge CDN distribution with custom domain DNS proxy (etcianspbcoe.dpdns.org)</w:t>
            </w:r>
          </w:p>
        </w:tc>
        <w:tc>
          <w:tcPr>
            <w:tcW w:type="dxa" w:w="2007"/>
            <w:tcMar>
              <w:top w:w="35" w:type="dxa"/>
              <w:bottom w:w="35" w:type="dxa"/>
              <w:left w:w="55" w:type="dxa"/>
              <w:right w:w="55" w:type="dxa"/>
            </w:tcMar>
          </w:tcPr>
          <w:p>
            <w:r>
              <w:rPr>
                <w:rFonts w:ascii="Arial" w:hAnsi="Arial"/>
                <w:color w:val="000000"/>
                <w:sz w:val="17"/>
              </w:rPr>
              <w:t>Cloud</w:t>
            </w:r>
          </w:p>
        </w:tc>
        <w:tc>
          <w:tcPr>
            <w:tcW w:type="dxa" w:w="2007"/>
            <w:tcMar>
              <w:top w:w="35" w:type="dxa"/>
              <w:bottom w:w="35" w:type="dxa"/>
              <w:left w:w="55" w:type="dxa"/>
              <w:right w:w="55" w:type="dxa"/>
            </w:tcMar>
          </w:tcPr>
          <w:p>
            <w:r>
              <w:rPr>
                <w:rFonts w:ascii="Arial" w:hAnsi="Arial"/>
                <w:color w:val="000000"/>
                <w:sz w:val="17"/>
              </w:rPr>
              <w:t>₹0.00 (Open Free)</w:t>
            </w:r>
          </w:p>
        </w:tc>
      </w:tr>
      <w:tr>
        <w:tc>
          <w:tcPr>
            <w:tcW w:type="dxa" w:w="2007"/>
            <w:tcMar>
              <w:top w:w="35" w:type="dxa"/>
              <w:bottom w:w="35" w:type="dxa"/>
              <w:left w:w="55" w:type="dxa"/>
              <w:right w:w="55" w:type="dxa"/>
            </w:tcMar>
            <w:shd w:fill="E5E5E5"/>
          </w:tcPr>
          <w:p>
            <w:r>
              <w:rPr>
                <w:rFonts w:ascii="Arial" w:hAnsi="Arial"/>
                <w:b/>
                <w:color w:val="000000"/>
                <w:sz w:val="17"/>
              </w:rPr>
              <w:t>TOTAL</w:t>
            </w:r>
          </w:p>
        </w:tc>
        <w:tc>
          <w:tcPr>
            <w:tcW w:type="dxa" w:w="2007"/>
            <w:tcMar>
              <w:top w:w="35" w:type="dxa"/>
              <w:bottom w:w="35" w:type="dxa"/>
              <w:left w:w="55" w:type="dxa"/>
              <w:right w:w="55" w:type="dxa"/>
            </w:tcMar>
            <w:shd w:fill="E5E5E5"/>
          </w:tcPr>
          <w:p>
            <w:r>
              <w:rPr>
                <w:rFonts w:ascii="Arial" w:hAnsi="Arial"/>
                <w:b/>
                <w:color w:val="000000"/>
                <w:sz w:val="17"/>
              </w:rPr>
              <w:t>COMPLETE PROTOTYPE EXPENDITURE</w:t>
            </w:r>
          </w:p>
        </w:tc>
        <w:tc>
          <w:tcPr>
            <w:tcW w:type="dxa" w:w="2007"/>
            <w:tcMar>
              <w:top w:w="35" w:type="dxa"/>
              <w:bottom w:w="35" w:type="dxa"/>
              <w:left w:w="55" w:type="dxa"/>
              <w:right w:w="55" w:type="dxa"/>
            </w:tcMar>
            <w:shd w:fill="E5E5E5"/>
          </w:tcPr>
          <w:p>
            <w:r>
              <w:rPr>
                <w:rFonts w:ascii="Arial" w:hAnsi="Arial"/>
                <w:b/>
                <w:color w:val="000000"/>
                <w:sz w:val="17"/>
              </w:rPr>
              <w:t>Hardware: ₹1,000 /- | Cloud &amp; Software License: ₹0.00 / month</w:t>
            </w:r>
          </w:p>
        </w:tc>
        <w:tc>
          <w:tcPr>
            <w:tcW w:type="dxa" w:w="2007"/>
            <w:tcMar>
              <w:top w:w="35" w:type="dxa"/>
              <w:bottom w:w="35" w:type="dxa"/>
              <w:left w:w="55" w:type="dxa"/>
              <w:right w:w="55" w:type="dxa"/>
            </w:tcMar>
            <w:shd w:fill="E5E5E5"/>
          </w:tcPr>
          <w:p>
            <w:r>
              <w:rPr>
                <w:rFonts w:ascii="Arial" w:hAnsi="Arial"/>
                <w:b/>
                <w:color w:val="000000"/>
                <w:sz w:val="17"/>
              </w:rPr>
            </w:r>
          </w:p>
        </w:tc>
        <w:tc>
          <w:tcPr>
            <w:tcW w:type="dxa" w:w="2007"/>
            <w:tcMar>
              <w:top w:w="35" w:type="dxa"/>
              <w:bottom w:w="35" w:type="dxa"/>
              <w:left w:w="55" w:type="dxa"/>
              <w:right w:w="55" w:type="dxa"/>
            </w:tcMar>
            <w:shd w:fill="E5E5E5"/>
          </w:tcPr>
          <w:p>
            <w:r>
              <w:rPr>
                <w:rFonts w:ascii="Arial" w:hAnsi="Arial"/>
                <w:b/>
                <w:color w:val="000000"/>
                <w:sz w:val="17"/>
              </w:rPr>
              <w:t>₹1,000 /-</w:t>
            </w:r>
          </w:p>
        </w:tc>
      </w:tr>
    </w:tbl>
    <w:p>
      <w:pPr>
        <w:spacing w:before="160" w:after="80"/>
      </w:pPr>
      <w:r>
        <w:rPr>
          <w:rFonts w:ascii="Arial" w:hAnsi="Arial"/>
          <w:b/>
          <w:color w:val="000000"/>
          <w:sz w:val="23"/>
        </w:rPr>
        <w:t>4. COST DIFFERENTIATION: OUR ₹1,000 SYSTEM VS. COMMERCIAL SOLUTIONS</w:t>
      </w:r>
    </w:p>
    <w:p>
      <w:pPr>
        <w:spacing w:after="100" w:line="288" w:lineRule="auto"/>
      </w:pPr>
      <w:r>
        <w:rPr>
          <w:rFonts w:ascii="Arial" w:hAnsi="Arial"/>
          <w:color w:val="000000"/>
          <w:sz w:val="20"/>
        </w:rPr>
        <w:t>Conventional biometric terminals (manufactured by commercial vendors such as eSSL, Matrix, or Realtime) impose heavy upfront procurement costs, proprietary closed communication protocols, and mandatory annual maintenance contracts (AMC). Our custom-engineered embedded solution disrupts this commercial pricing structure:</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509"/>
            <w:tcMar>
              <w:top w:w="35" w:type="dxa"/>
              <w:bottom w:w="35" w:type="dxa"/>
              <w:left w:w="55" w:type="dxa"/>
              <w:right w:w="55" w:type="dxa"/>
            </w:tcMar>
            <w:shd w:fill="000000"/>
          </w:tcPr>
          <w:p>
            <w:r>
              <w:rPr>
                <w:rFonts w:ascii="Arial" w:hAnsi="Arial"/>
                <w:b/>
                <w:color w:val="FFFFFF"/>
                <w:sz w:val="17"/>
              </w:rPr>
              <w:t>Evaluation Parameter</w:t>
            </w:r>
          </w:p>
        </w:tc>
        <w:tc>
          <w:tcPr>
            <w:tcW w:type="dxa" w:w="2509"/>
            <w:tcMar>
              <w:top w:w="35" w:type="dxa"/>
              <w:bottom w:w="35" w:type="dxa"/>
              <w:left w:w="55" w:type="dxa"/>
              <w:right w:w="55" w:type="dxa"/>
            </w:tcMar>
            <w:shd w:fill="000000"/>
          </w:tcPr>
          <w:p>
            <w:r>
              <w:rPr>
                <w:rFonts w:ascii="Arial" w:hAnsi="Arial"/>
                <w:b/>
                <w:color w:val="FFFFFF"/>
                <w:sz w:val="17"/>
              </w:rPr>
              <w:t>Commercial Biometric Terminal</w:t>
            </w:r>
          </w:p>
        </w:tc>
        <w:tc>
          <w:tcPr>
            <w:tcW w:type="dxa" w:w="2509"/>
            <w:tcMar>
              <w:top w:w="35" w:type="dxa"/>
              <w:bottom w:w="35" w:type="dxa"/>
              <w:left w:w="55" w:type="dxa"/>
              <w:right w:w="55" w:type="dxa"/>
            </w:tcMar>
            <w:shd w:fill="000000"/>
          </w:tcPr>
          <w:p>
            <w:r>
              <w:rPr>
                <w:rFonts w:ascii="Arial" w:hAnsi="Arial"/>
                <w:b/>
                <w:color w:val="FFFFFF"/>
                <w:sz w:val="17"/>
              </w:rPr>
              <w:t>PBCOE Embedded Solution (Ours)</w:t>
            </w:r>
          </w:p>
        </w:tc>
        <w:tc>
          <w:tcPr>
            <w:tcW w:type="dxa" w:w="2509"/>
            <w:tcMar>
              <w:top w:w="35" w:type="dxa"/>
              <w:bottom w:w="35" w:type="dxa"/>
              <w:left w:w="55" w:type="dxa"/>
              <w:right w:w="55" w:type="dxa"/>
            </w:tcMar>
            <w:shd w:fill="000000"/>
          </w:tcPr>
          <w:p>
            <w:r>
              <w:rPr>
                <w:rFonts w:ascii="Arial" w:hAnsi="Arial"/>
                <w:b/>
                <w:color w:val="FFFFFF"/>
                <w:sz w:val="17"/>
              </w:rPr>
              <w:t>Engineering Advantage</w:t>
            </w:r>
          </w:p>
        </w:tc>
      </w:tr>
      <w:tr>
        <w:tc>
          <w:tcPr>
            <w:tcW w:type="dxa" w:w="2509"/>
            <w:tcMar>
              <w:top w:w="35" w:type="dxa"/>
              <w:bottom w:w="35" w:type="dxa"/>
              <w:left w:w="55" w:type="dxa"/>
              <w:right w:w="55" w:type="dxa"/>
            </w:tcMar>
          </w:tcPr>
          <w:p>
            <w:r>
              <w:rPr>
                <w:rFonts w:ascii="Arial" w:hAnsi="Arial"/>
                <w:color w:val="000000"/>
                <w:sz w:val="17"/>
              </w:rPr>
              <w:t>Initial Hardware Capex</w:t>
            </w:r>
          </w:p>
        </w:tc>
        <w:tc>
          <w:tcPr>
            <w:tcW w:type="dxa" w:w="2509"/>
            <w:tcMar>
              <w:top w:w="35" w:type="dxa"/>
              <w:bottom w:w="35" w:type="dxa"/>
              <w:left w:w="55" w:type="dxa"/>
              <w:right w:w="55" w:type="dxa"/>
            </w:tcMar>
          </w:tcPr>
          <w:p>
            <w:r>
              <w:rPr>
                <w:rFonts w:ascii="Arial" w:hAnsi="Arial"/>
                <w:color w:val="000000"/>
                <w:sz w:val="17"/>
              </w:rPr>
              <w:t>₹12,000 — ₹24,000 per terminal</w:t>
            </w:r>
          </w:p>
        </w:tc>
        <w:tc>
          <w:tcPr>
            <w:tcW w:type="dxa" w:w="2509"/>
            <w:tcMar>
              <w:top w:w="35" w:type="dxa"/>
              <w:bottom w:w="35" w:type="dxa"/>
              <w:left w:w="55" w:type="dxa"/>
              <w:right w:w="55" w:type="dxa"/>
            </w:tcMar>
          </w:tcPr>
          <w:p>
            <w:r>
              <w:rPr>
                <w:rFonts w:ascii="Arial" w:hAnsi="Arial"/>
                <w:b/>
                <w:color w:val="000000"/>
                <w:sz w:val="17"/>
              </w:rPr>
              <w:t>₹1,000 total investment</w:t>
            </w:r>
          </w:p>
        </w:tc>
        <w:tc>
          <w:tcPr>
            <w:tcW w:type="dxa" w:w="2509"/>
            <w:tcMar>
              <w:top w:w="35" w:type="dxa"/>
              <w:bottom w:w="35" w:type="dxa"/>
              <w:left w:w="55" w:type="dxa"/>
              <w:right w:w="55" w:type="dxa"/>
            </w:tcMar>
          </w:tcPr>
          <w:p>
            <w:r>
              <w:rPr>
                <w:rFonts w:ascii="Arial" w:hAnsi="Arial"/>
                <w:b/>
                <w:color w:val="000000"/>
                <w:sz w:val="17"/>
              </w:rPr>
              <w:t>92%–96% Cost Savings</w:t>
            </w:r>
          </w:p>
        </w:tc>
      </w:tr>
      <w:tr>
        <w:tc>
          <w:tcPr>
            <w:tcW w:type="dxa" w:w="2509"/>
            <w:tcMar>
              <w:top w:w="35" w:type="dxa"/>
              <w:bottom w:w="35" w:type="dxa"/>
              <w:left w:w="55" w:type="dxa"/>
              <w:right w:w="55" w:type="dxa"/>
            </w:tcMar>
          </w:tcPr>
          <w:p>
            <w:r>
              <w:rPr>
                <w:rFonts w:ascii="Arial" w:hAnsi="Arial"/>
                <w:color w:val="000000"/>
                <w:sz w:val="17"/>
              </w:rPr>
              <w:t>Software / Cloud AMC</w:t>
            </w:r>
          </w:p>
        </w:tc>
        <w:tc>
          <w:tcPr>
            <w:tcW w:type="dxa" w:w="2509"/>
            <w:tcMar>
              <w:top w:w="35" w:type="dxa"/>
              <w:bottom w:w="35" w:type="dxa"/>
              <w:left w:w="55" w:type="dxa"/>
              <w:right w:w="55" w:type="dxa"/>
            </w:tcMar>
          </w:tcPr>
          <w:p>
            <w:r>
              <w:rPr>
                <w:rFonts w:ascii="Arial" w:hAnsi="Arial"/>
                <w:color w:val="000000"/>
                <w:sz w:val="17"/>
              </w:rPr>
              <w:t>₹3,500 — ₹8,000 / year recurring fee</w:t>
            </w:r>
          </w:p>
        </w:tc>
        <w:tc>
          <w:tcPr>
            <w:tcW w:type="dxa" w:w="2509"/>
            <w:tcMar>
              <w:top w:w="35" w:type="dxa"/>
              <w:bottom w:w="35" w:type="dxa"/>
              <w:left w:w="55" w:type="dxa"/>
              <w:right w:w="55" w:type="dxa"/>
            </w:tcMar>
          </w:tcPr>
          <w:p>
            <w:r>
              <w:rPr>
                <w:rFonts w:ascii="Arial" w:hAnsi="Arial"/>
                <w:b/>
                <w:color w:val="000000"/>
                <w:sz w:val="17"/>
              </w:rPr>
              <w:t>₹0.00 (Zero Recurring Charges)</w:t>
            </w:r>
          </w:p>
        </w:tc>
        <w:tc>
          <w:tcPr>
            <w:tcW w:type="dxa" w:w="2509"/>
            <w:tcMar>
              <w:top w:w="35" w:type="dxa"/>
              <w:bottom w:w="35" w:type="dxa"/>
              <w:left w:w="55" w:type="dxa"/>
              <w:right w:w="55" w:type="dxa"/>
            </w:tcMar>
          </w:tcPr>
          <w:p>
            <w:r>
              <w:rPr>
                <w:rFonts w:ascii="Arial" w:hAnsi="Arial"/>
                <w:b/>
                <w:color w:val="000000"/>
                <w:sz w:val="17"/>
              </w:rPr>
              <w:t>100% Free Lifetime Use</w:t>
            </w:r>
          </w:p>
        </w:tc>
      </w:tr>
      <w:tr>
        <w:tc>
          <w:tcPr>
            <w:tcW w:type="dxa" w:w="2509"/>
            <w:tcMar>
              <w:top w:w="35" w:type="dxa"/>
              <w:bottom w:w="35" w:type="dxa"/>
              <w:left w:w="55" w:type="dxa"/>
              <w:right w:w="55" w:type="dxa"/>
            </w:tcMar>
          </w:tcPr>
          <w:p>
            <w:r>
              <w:rPr>
                <w:rFonts w:ascii="Arial" w:hAnsi="Arial"/>
                <w:color w:val="000000"/>
                <w:sz w:val="17"/>
              </w:rPr>
              <w:t>Database Architecture</w:t>
            </w:r>
          </w:p>
        </w:tc>
        <w:tc>
          <w:tcPr>
            <w:tcW w:type="dxa" w:w="2509"/>
            <w:tcMar>
              <w:top w:w="35" w:type="dxa"/>
              <w:bottom w:w="35" w:type="dxa"/>
              <w:left w:w="55" w:type="dxa"/>
              <w:right w:w="55" w:type="dxa"/>
            </w:tcMar>
          </w:tcPr>
          <w:p>
            <w:r>
              <w:rPr>
                <w:rFonts w:ascii="Arial" w:hAnsi="Arial"/>
                <w:color w:val="000000"/>
                <w:sz w:val="17"/>
              </w:rPr>
              <w:t>Proprietary desktop SQL database</w:t>
            </w:r>
          </w:p>
        </w:tc>
        <w:tc>
          <w:tcPr>
            <w:tcW w:type="dxa" w:w="2509"/>
            <w:tcMar>
              <w:top w:w="35" w:type="dxa"/>
              <w:bottom w:w="35" w:type="dxa"/>
              <w:left w:w="55" w:type="dxa"/>
              <w:right w:w="55" w:type="dxa"/>
            </w:tcMar>
          </w:tcPr>
          <w:p>
            <w:r>
              <w:rPr>
                <w:rFonts w:ascii="Arial" w:hAnsi="Arial"/>
                <w:b/>
                <w:color w:val="000000"/>
                <w:sz w:val="17"/>
              </w:rPr>
              <w:t>Supabase PostgreSQL REST API</w:t>
            </w:r>
          </w:p>
        </w:tc>
        <w:tc>
          <w:tcPr>
            <w:tcW w:type="dxa" w:w="2509"/>
            <w:tcMar>
              <w:top w:w="35" w:type="dxa"/>
              <w:bottom w:w="35" w:type="dxa"/>
              <w:left w:w="55" w:type="dxa"/>
              <w:right w:w="55" w:type="dxa"/>
            </w:tcMar>
          </w:tcPr>
          <w:p>
            <w:r>
              <w:rPr>
                <w:rFonts w:ascii="Arial" w:hAnsi="Arial"/>
                <w:b/>
                <w:color w:val="000000"/>
                <w:sz w:val="17"/>
              </w:rPr>
              <w:t>Open standard schema</w:t>
            </w:r>
          </w:p>
        </w:tc>
      </w:tr>
      <w:tr>
        <w:tc>
          <w:tcPr>
            <w:tcW w:type="dxa" w:w="2509"/>
            <w:tcMar>
              <w:top w:w="35" w:type="dxa"/>
              <w:bottom w:w="35" w:type="dxa"/>
              <w:left w:w="55" w:type="dxa"/>
              <w:right w:w="55" w:type="dxa"/>
            </w:tcMar>
          </w:tcPr>
          <w:p>
            <w:r>
              <w:rPr>
                <w:rFonts w:ascii="Arial" w:hAnsi="Arial"/>
                <w:color w:val="000000"/>
                <w:sz w:val="17"/>
              </w:rPr>
              <w:t>Access Modality</w:t>
            </w:r>
          </w:p>
        </w:tc>
        <w:tc>
          <w:tcPr>
            <w:tcW w:type="dxa" w:w="2509"/>
            <w:tcMar>
              <w:top w:w="35" w:type="dxa"/>
              <w:bottom w:w="35" w:type="dxa"/>
              <w:left w:w="55" w:type="dxa"/>
              <w:right w:w="55" w:type="dxa"/>
            </w:tcMar>
          </w:tcPr>
          <w:p>
            <w:r>
              <w:rPr>
                <w:rFonts w:ascii="Arial" w:hAnsi="Arial"/>
                <w:color w:val="000000"/>
                <w:sz w:val="17"/>
              </w:rPr>
              <w:t>Restricted to administrative PC terminal</w:t>
            </w:r>
          </w:p>
        </w:tc>
        <w:tc>
          <w:tcPr>
            <w:tcW w:type="dxa" w:w="2509"/>
            <w:tcMar>
              <w:top w:w="35" w:type="dxa"/>
              <w:bottom w:w="35" w:type="dxa"/>
              <w:left w:w="55" w:type="dxa"/>
              <w:right w:w="55" w:type="dxa"/>
            </w:tcMar>
          </w:tcPr>
          <w:p>
            <w:r>
              <w:rPr>
                <w:rFonts w:ascii="Arial" w:hAnsi="Arial"/>
                <w:b/>
                <w:color w:val="000000"/>
                <w:sz w:val="17"/>
              </w:rPr>
              <w:t>Universal Web Portal (Mobile &amp; PC)</w:t>
            </w:r>
          </w:p>
        </w:tc>
        <w:tc>
          <w:tcPr>
            <w:tcW w:type="dxa" w:w="2509"/>
            <w:tcMar>
              <w:top w:w="35" w:type="dxa"/>
              <w:bottom w:w="35" w:type="dxa"/>
              <w:left w:w="55" w:type="dxa"/>
              <w:right w:w="55" w:type="dxa"/>
            </w:tcMar>
          </w:tcPr>
          <w:p>
            <w:r>
              <w:rPr>
                <w:rFonts w:ascii="Arial" w:hAnsi="Arial"/>
                <w:b/>
                <w:color w:val="000000"/>
                <w:sz w:val="17"/>
              </w:rPr>
              <w:t>Zero install required</w:t>
            </w:r>
          </w:p>
        </w:tc>
      </w:tr>
      <w:tr>
        <w:tc>
          <w:tcPr>
            <w:tcW w:type="dxa" w:w="2509"/>
            <w:tcMar>
              <w:top w:w="35" w:type="dxa"/>
              <w:bottom w:w="35" w:type="dxa"/>
              <w:left w:w="55" w:type="dxa"/>
              <w:right w:w="55" w:type="dxa"/>
            </w:tcMar>
          </w:tcPr>
          <w:p>
            <w:r>
              <w:rPr>
                <w:rFonts w:ascii="Arial" w:hAnsi="Arial"/>
                <w:color w:val="000000"/>
                <w:sz w:val="17"/>
              </w:rPr>
              <w:t>Sync Telemetry Latency</w:t>
            </w:r>
          </w:p>
        </w:tc>
        <w:tc>
          <w:tcPr>
            <w:tcW w:type="dxa" w:w="2509"/>
            <w:tcMar>
              <w:top w:w="35" w:type="dxa"/>
              <w:bottom w:w="35" w:type="dxa"/>
              <w:left w:w="55" w:type="dxa"/>
              <w:right w:w="55" w:type="dxa"/>
            </w:tcMar>
          </w:tcPr>
          <w:p>
            <w:r>
              <w:rPr>
                <w:rFonts w:ascii="Arial" w:hAnsi="Arial"/>
                <w:color w:val="000000"/>
                <w:sz w:val="17"/>
              </w:rPr>
              <w:t>Batch sync (every 15 to 60 minutes)</w:t>
            </w:r>
          </w:p>
        </w:tc>
        <w:tc>
          <w:tcPr>
            <w:tcW w:type="dxa" w:w="2509"/>
            <w:tcMar>
              <w:top w:w="35" w:type="dxa"/>
              <w:bottom w:w="35" w:type="dxa"/>
              <w:left w:w="55" w:type="dxa"/>
              <w:right w:w="55" w:type="dxa"/>
            </w:tcMar>
          </w:tcPr>
          <w:p>
            <w:r>
              <w:rPr>
                <w:rFonts w:ascii="Arial" w:hAnsi="Arial"/>
                <w:b/>
                <w:color w:val="000000"/>
                <w:sz w:val="17"/>
              </w:rPr>
              <w:t>Instantaneous Stream (&lt;350ms)</w:t>
            </w:r>
          </w:p>
        </w:tc>
        <w:tc>
          <w:tcPr>
            <w:tcW w:type="dxa" w:w="2509"/>
            <w:tcMar>
              <w:top w:w="35" w:type="dxa"/>
              <w:bottom w:w="35" w:type="dxa"/>
              <w:left w:w="55" w:type="dxa"/>
              <w:right w:w="55" w:type="dxa"/>
            </w:tcMar>
          </w:tcPr>
          <w:p>
            <w:r>
              <w:rPr>
                <w:rFonts w:ascii="Arial" w:hAnsi="Arial"/>
                <w:b/>
                <w:color w:val="000000"/>
                <w:sz w:val="17"/>
              </w:rPr>
              <w:t>Immediate verification</w:t>
            </w:r>
          </w:p>
        </w:tc>
      </w:tr>
      <w:tr>
        <w:tc>
          <w:tcPr>
            <w:tcW w:type="dxa" w:w="2509"/>
            <w:tcMar>
              <w:top w:w="35" w:type="dxa"/>
              <w:bottom w:w="35" w:type="dxa"/>
              <w:left w:w="55" w:type="dxa"/>
              <w:right w:w="55" w:type="dxa"/>
            </w:tcMar>
          </w:tcPr>
          <w:p>
            <w:r>
              <w:rPr>
                <w:rFonts w:ascii="Arial" w:hAnsi="Arial"/>
                <w:color w:val="000000"/>
                <w:sz w:val="17"/>
              </w:rPr>
              <w:t>Student Verification Alerts</w:t>
            </w:r>
          </w:p>
        </w:tc>
        <w:tc>
          <w:tcPr>
            <w:tcW w:type="dxa" w:w="2509"/>
            <w:tcMar>
              <w:top w:w="35" w:type="dxa"/>
              <w:bottom w:w="35" w:type="dxa"/>
              <w:left w:w="55" w:type="dxa"/>
              <w:right w:w="55" w:type="dxa"/>
            </w:tcMar>
          </w:tcPr>
          <w:p>
            <w:r>
              <w:rPr>
                <w:rFonts w:ascii="Arial" w:hAnsi="Arial"/>
                <w:color w:val="000000"/>
                <w:sz w:val="17"/>
              </w:rPr>
              <w:t>Requires paid SMS gateway bundles</w:t>
            </w:r>
          </w:p>
        </w:tc>
        <w:tc>
          <w:tcPr>
            <w:tcW w:type="dxa" w:w="2509"/>
            <w:tcMar>
              <w:top w:w="35" w:type="dxa"/>
              <w:bottom w:w="35" w:type="dxa"/>
              <w:left w:w="55" w:type="dxa"/>
              <w:right w:w="55" w:type="dxa"/>
            </w:tcMar>
          </w:tcPr>
          <w:p>
            <w:r>
              <w:rPr>
                <w:rFonts w:ascii="Arial" w:hAnsi="Arial"/>
                <w:b/>
                <w:color w:val="000000"/>
                <w:sz w:val="17"/>
              </w:rPr>
              <w:t>Native Instant Web Notifications</w:t>
            </w:r>
          </w:p>
        </w:tc>
        <w:tc>
          <w:tcPr>
            <w:tcW w:type="dxa" w:w="2509"/>
            <w:tcMar>
              <w:top w:w="35" w:type="dxa"/>
              <w:bottom w:w="35" w:type="dxa"/>
              <w:left w:w="55" w:type="dxa"/>
              <w:right w:w="55" w:type="dxa"/>
            </w:tcMar>
          </w:tcPr>
          <w:p>
            <w:r>
              <w:rPr>
                <w:rFonts w:ascii="Arial" w:hAnsi="Arial"/>
                <w:b/>
                <w:color w:val="000000"/>
                <w:sz w:val="17"/>
              </w:rPr>
              <w:t>Zero operating expense</w:t>
            </w:r>
          </w:p>
        </w:tc>
      </w:tr>
      <w:tr>
        <w:tc>
          <w:tcPr>
            <w:tcW w:type="dxa" w:w="2509"/>
            <w:tcMar>
              <w:top w:w="35" w:type="dxa"/>
              <w:bottom w:w="35" w:type="dxa"/>
              <w:left w:w="55" w:type="dxa"/>
              <w:right w:w="55" w:type="dxa"/>
            </w:tcMar>
          </w:tcPr>
          <w:p>
            <w:r>
              <w:rPr>
                <w:rFonts w:ascii="Arial" w:hAnsi="Arial"/>
                <w:color w:val="000000"/>
                <w:sz w:val="17"/>
              </w:rPr>
              <w:t>Firmware &amp; Extensibility</w:t>
            </w:r>
          </w:p>
        </w:tc>
        <w:tc>
          <w:tcPr>
            <w:tcW w:type="dxa" w:w="2509"/>
            <w:tcMar>
              <w:top w:w="35" w:type="dxa"/>
              <w:bottom w:w="35" w:type="dxa"/>
              <w:left w:w="55" w:type="dxa"/>
              <w:right w:w="55" w:type="dxa"/>
            </w:tcMar>
          </w:tcPr>
          <w:p>
            <w:r>
              <w:rPr>
                <w:rFonts w:ascii="Arial" w:hAnsi="Arial"/>
                <w:color w:val="000000"/>
                <w:sz w:val="17"/>
              </w:rPr>
              <w:t>Closed-source locked binary firmware</w:t>
            </w:r>
          </w:p>
        </w:tc>
        <w:tc>
          <w:tcPr>
            <w:tcW w:type="dxa" w:w="2509"/>
            <w:tcMar>
              <w:top w:w="35" w:type="dxa"/>
              <w:bottom w:w="35" w:type="dxa"/>
              <w:left w:w="55" w:type="dxa"/>
              <w:right w:w="55" w:type="dxa"/>
            </w:tcMar>
          </w:tcPr>
          <w:p>
            <w:r>
              <w:rPr>
                <w:rFonts w:ascii="Arial" w:hAnsi="Arial"/>
                <w:b/>
                <w:color w:val="000000"/>
                <w:sz w:val="17"/>
              </w:rPr>
              <w:t>Open ESP32 C++ Firmware Stack</w:t>
            </w:r>
          </w:p>
        </w:tc>
        <w:tc>
          <w:tcPr>
            <w:tcW w:type="dxa" w:w="2509"/>
            <w:tcMar>
              <w:top w:w="35" w:type="dxa"/>
              <w:bottom w:w="35" w:type="dxa"/>
              <w:left w:w="55" w:type="dxa"/>
              <w:right w:w="55" w:type="dxa"/>
            </w:tcMar>
          </w:tcPr>
          <w:p>
            <w:r>
              <w:rPr>
                <w:rFonts w:ascii="Arial" w:hAnsi="Arial"/>
                <w:b/>
                <w:color w:val="000000"/>
                <w:sz w:val="17"/>
              </w:rPr>
              <w:t>Fully customizable</w:t>
            </w:r>
          </w:p>
        </w:tc>
      </w:tr>
      <w:tr>
        <w:tc>
          <w:tcPr>
            <w:tcW w:type="dxa" w:w="2509"/>
            <w:tcMar>
              <w:top w:w="35" w:type="dxa"/>
              <w:bottom w:w="35" w:type="dxa"/>
              <w:left w:w="55" w:type="dxa"/>
              <w:right w:w="55" w:type="dxa"/>
            </w:tcMar>
          </w:tcPr>
          <w:p>
            <w:r>
              <w:rPr>
                <w:rFonts w:ascii="Arial" w:hAnsi="Arial"/>
                <w:color w:val="000000"/>
                <w:sz w:val="17"/>
              </w:rPr>
              <w:t>Curriculum Alignment</w:t>
            </w:r>
          </w:p>
        </w:tc>
        <w:tc>
          <w:tcPr>
            <w:tcW w:type="dxa" w:w="2509"/>
            <w:tcMar>
              <w:top w:w="35" w:type="dxa"/>
              <w:bottom w:w="35" w:type="dxa"/>
              <w:left w:w="55" w:type="dxa"/>
              <w:right w:w="55" w:type="dxa"/>
            </w:tcMar>
          </w:tcPr>
          <w:p>
            <w:r>
              <w:rPr>
                <w:rFonts w:ascii="Arial" w:hAnsi="Arial"/>
                <w:color w:val="000000"/>
                <w:sz w:val="17"/>
              </w:rPr>
              <w:t>Proprietary black-box appliance</w:t>
            </w:r>
          </w:p>
        </w:tc>
        <w:tc>
          <w:tcPr>
            <w:tcW w:type="dxa" w:w="2509"/>
            <w:tcMar>
              <w:top w:w="35" w:type="dxa"/>
              <w:bottom w:w="35" w:type="dxa"/>
              <w:left w:w="55" w:type="dxa"/>
              <w:right w:w="55" w:type="dxa"/>
            </w:tcMar>
          </w:tcPr>
          <w:p>
            <w:r>
              <w:rPr>
                <w:rFonts w:ascii="Arial" w:hAnsi="Arial"/>
                <w:b/>
                <w:color w:val="000000"/>
                <w:sz w:val="17"/>
              </w:rPr>
              <w:t>100% NEP 2020 Hands-On Alignment</w:t>
            </w:r>
          </w:p>
        </w:tc>
        <w:tc>
          <w:tcPr>
            <w:tcW w:type="dxa" w:w="2509"/>
            <w:tcMar>
              <w:top w:w="35" w:type="dxa"/>
              <w:bottom w:w="35" w:type="dxa"/>
              <w:left w:w="55" w:type="dxa"/>
              <w:right w:w="55" w:type="dxa"/>
            </w:tcMar>
          </w:tcPr>
          <w:p>
            <w:r>
              <w:rPr>
                <w:rFonts w:ascii="Arial" w:hAnsi="Arial"/>
                <w:b/>
                <w:color w:val="000000"/>
                <w:sz w:val="17"/>
              </w:rPr>
              <w:t>Transparent pedagogy</w:t>
            </w:r>
          </w:p>
        </w:tc>
      </w:tr>
    </w:tbl>
    <w:p>
      <w:pPr>
        <w:spacing w:after="100" w:line="288" w:lineRule="auto"/>
      </w:pPr>
      <w:r>
        <w:rPr>
          <w:rFonts w:ascii="Arial" w:hAnsi="Arial"/>
          <w:color w:val="000000"/>
          <w:sz w:val="20"/>
        </w:rPr>
        <w:t>This architectural analysis demonstrates that educational institutions can deploy high-speed biometric telemetry across all departmental laboratories at a fraction of the cost of commercial alternatives, while retaining full institutional sovereignty over student biometric data.</w:t>
      </w:r>
    </w:p>
    <w:p>
      <w:pPr>
        <w:jc w:val="right"/>
      </w:pPr>
      <w:r>
        <w:rPr>
          <w:rFonts w:ascii="Arial" w:hAnsi="Arial"/>
          <w:b/>
          <w:color w:val="000000"/>
          <w:sz w:val="16"/>
        </w:rPr>
        <w:t>PBCOE Department of Electronics &amp; Telecommunication Engineering | Embedded Systems | Activity - 2 | Page 2 of 6</w:t>
      </w:r>
    </w:p>
    <w:p>
      <w:r>
        <w:br w:type="page"/>
      </w:r>
    </w:p>
    <w:p>
      <w:pPr>
        <w:spacing w:after="120"/>
        <w:jc w:val="right"/>
      </w:pPr>
      <w:r>
        <w:rPr>
          <w:rFonts w:ascii="Arial" w:hAnsi="Arial"/>
          <w:b/>
          <w:color w:val="000000"/>
          <w:sz w:val="17"/>
        </w:rPr>
        <w:t>ACTIVITY - 2 // EMBEDDED SYSTEMS (ET501T / ET503P) — YUVRAJ LOKHANDE | PRN: 24121227</w:t>
      </w:r>
    </w:p>
    <w:p>
      <w:pPr>
        <w:spacing w:before="160" w:after="80"/>
      </w:pPr>
      <w:r>
        <w:rPr>
          <w:rFonts w:ascii="Arial" w:hAnsi="Arial"/>
          <w:b/>
          <w:color w:val="000000"/>
          <w:sz w:val="23"/>
        </w:rPr>
        <w:t>5. CIRCUIT INTERFACING, PINOUT MAPPING &amp; SERIAL COMMUNICATION</w:t>
      </w:r>
    </w:p>
    <w:p>
      <w:pPr>
        <w:spacing w:after="100" w:line="288" w:lineRule="auto"/>
      </w:pPr>
      <w:r>
        <w:rPr>
          <w:rFonts w:ascii="Arial" w:hAnsi="Arial"/>
          <w:color w:val="000000"/>
          <w:sz w:val="20"/>
        </w:rPr>
        <w:t>The hardware architecture connects the ESP32 NodeMCU microcontroller to the R307 optical fingerprint scanner via Hardware Serial UART2. ESP32 digital pins GPIO16 and GPIO17 are configured as RX2 and TX2 respectively. The active piezo buzzer is driven directly via digital output GPIO4.</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007"/>
        <w:gridCol w:w="2007"/>
        <w:gridCol w:w="2007"/>
        <w:gridCol w:w="2007"/>
        <w:gridCol w:w="2007"/>
      </w:tblGrid>
      <w:tr>
        <w:tc>
          <w:tcPr>
            <w:tcW w:type="dxa" w:w="2007"/>
            <w:tcMar>
              <w:top w:w="35" w:type="dxa"/>
              <w:bottom w:w="35" w:type="dxa"/>
              <w:left w:w="55" w:type="dxa"/>
              <w:right w:w="55" w:type="dxa"/>
            </w:tcMar>
            <w:shd w:fill="000000"/>
          </w:tcPr>
          <w:p>
            <w:r>
              <w:rPr>
                <w:rFonts w:ascii="Arial" w:hAnsi="Arial"/>
                <w:b/>
                <w:color w:val="FFFFFF"/>
                <w:sz w:val="17"/>
              </w:rPr>
              <w:t>Source Device</w:t>
            </w:r>
          </w:p>
        </w:tc>
        <w:tc>
          <w:tcPr>
            <w:tcW w:type="dxa" w:w="2007"/>
            <w:tcMar>
              <w:top w:w="35" w:type="dxa"/>
              <w:bottom w:w="35" w:type="dxa"/>
              <w:left w:w="55" w:type="dxa"/>
              <w:right w:w="55" w:type="dxa"/>
            </w:tcMar>
            <w:shd w:fill="000000"/>
          </w:tcPr>
          <w:p>
            <w:r>
              <w:rPr>
                <w:rFonts w:ascii="Arial" w:hAnsi="Arial"/>
                <w:b/>
                <w:color w:val="FFFFFF"/>
                <w:sz w:val="17"/>
              </w:rPr>
              <w:t>Module Pin / Color</w:t>
            </w:r>
          </w:p>
        </w:tc>
        <w:tc>
          <w:tcPr>
            <w:tcW w:type="dxa" w:w="2007"/>
            <w:tcMar>
              <w:top w:w="35" w:type="dxa"/>
              <w:bottom w:w="35" w:type="dxa"/>
              <w:left w:w="55" w:type="dxa"/>
              <w:right w:w="55" w:type="dxa"/>
            </w:tcMar>
            <w:shd w:fill="000000"/>
          </w:tcPr>
          <w:p>
            <w:r>
              <w:rPr>
                <w:rFonts w:ascii="Arial" w:hAnsi="Arial"/>
                <w:b/>
                <w:color w:val="FFFFFF"/>
                <w:sz w:val="17"/>
              </w:rPr>
              <w:t>Target ESP32 Pin</w:t>
            </w:r>
          </w:p>
        </w:tc>
        <w:tc>
          <w:tcPr>
            <w:tcW w:type="dxa" w:w="2007"/>
            <w:tcMar>
              <w:top w:w="35" w:type="dxa"/>
              <w:bottom w:w="35" w:type="dxa"/>
              <w:left w:w="55" w:type="dxa"/>
              <w:right w:w="55" w:type="dxa"/>
            </w:tcMar>
            <w:shd w:fill="000000"/>
          </w:tcPr>
          <w:p>
            <w:r>
              <w:rPr>
                <w:rFonts w:ascii="Arial" w:hAnsi="Arial"/>
                <w:b/>
                <w:color w:val="FFFFFF"/>
                <w:sz w:val="17"/>
              </w:rPr>
              <w:t>Signal Description</w:t>
            </w:r>
          </w:p>
        </w:tc>
        <w:tc>
          <w:tcPr>
            <w:tcW w:type="dxa" w:w="2007"/>
            <w:tcMar>
              <w:top w:w="35" w:type="dxa"/>
              <w:bottom w:w="35" w:type="dxa"/>
              <w:left w:w="55" w:type="dxa"/>
              <w:right w:w="55" w:type="dxa"/>
            </w:tcMar>
            <w:shd w:fill="000000"/>
          </w:tcPr>
          <w:p>
            <w:r>
              <w:rPr>
                <w:rFonts w:ascii="Arial" w:hAnsi="Arial"/>
                <w:b/>
                <w:color w:val="FFFFFF"/>
                <w:sz w:val="17"/>
              </w:rPr>
              <w:t>Electrical Rating</w:t>
            </w:r>
          </w:p>
        </w:tc>
      </w:tr>
      <w:tr>
        <w:tc>
          <w:tcPr>
            <w:tcW w:type="dxa" w:w="2007"/>
            <w:tcMar>
              <w:top w:w="35" w:type="dxa"/>
              <w:bottom w:w="35" w:type="dxa"/>
              <w:left w:w="55" w:type="dxa"/>
              <w:right w:w="55" w:type="dxa"/>
            </w:tcMar>
          </w:tcPr>
          <w:p>
            <w:r>
              <w:rPr>
                <w:rFonts w:ascii="Arial" w:hAnsi="Arial"/>
                <w:color w:val="000000"/>
                <w:sz w:val="17"/>
              </w:rPr>
              <w:t>R307 Optical Sensor</w:t>
            </w:r>
          </w:p>
        </w:tc>
        <w:tc>
          <w:tcPr>
            <w:tcW w:type="dxa" w:w="2007"/>
            <w:tcMar>
              <w:top w:w="35" w:type="dxa"/>
              <w:bottom w:w="35" w:type="dxa"/>
              <w:left w:w="55" w:type="dxa"/>
              <w:right w:w="55" w:type="dxa"/>
            </w:tcMar>
          </w:tcPr>
          <w:p>
            <w:r>
              <w:rPr>
                <w:rFonts w:ascii="Arial" w:hAnsi="Arial"/>
                <w:color w:val="000000"/>
                <w:sz w:val="17"/>
              </w:rPr>
              <w:t>Pin 1 (Red Wire)</w:t>
            </w:r>
          </w:p>
        </w:tc>
        <w:tc>
          <w:tcPr>
            <w:tcW w:type="dxa" w:w="2007"/>
            <w:tcMar>
              <w:top w:w="35" w:type="dxa"/>
              <w:bottom w:w="35" w:type="dxa"/>
              <w:left w:w="55" w:type="dxa"/>
              <w:right w:w="55" w:type="dxa"/>
            </w:tcMar>
          </w:tcPr>
          <w:p>
            <w:r>
              <w:rPr>
                <w:rFonts w:ascii="Arial" w:hAnsi="Arial"/>
                <w:b/>
                <w:color w:val="000000"/>
                <w:sz w:val="17"/>
              </w:rPr>
              <w:t>VIN (5V Rail)</w:t>
            </w:r>
          </w:p>
        </w:tc>
        <w:tc>
          <w:tcPr>
            <w:tcW w:type="dxa" w:w="2007"/>
            <w:tcMar>
              <w:top w:w="35" w:type="dxa"/>
              <w:bottom w:w="35" w:type="dxa"/>
              <w:left w:w="55" w:type="dxa"/>
              <w:right w:w="55" w:type="dxa"/>
            </w:tcMar>
          </w:tcPr>
          <w:p>
            <w:r>
              <w:rPr>
                <w:rFonts w:ascii="Arial" w:hAnsi="Arial"/>
                <w:color w:val="000000"/>
                <w:sz w:val="17"/>
              </w:rPr>
              <w:t>DC Sensor Main Power</w:t>
            </w:r>
          </w:p>
        </w:tc>
        <w:tc>
          <w:tcPr>
            <w:tcW w:type="dxa" w:w="2007"/>
            <w:tcMar>
              <w:top w:w="35" w:type="dxa"/>
              <w:bottom w:w="35" w:type="dxa"/>
              <w:left w:w="55" w:type="dxa"/>
              <w:right w:w="55" w:type="dxa"/>
            </w:tcMar>
          </w:tcPr>
          <w:p>
            <w:r>
              <w:rPr>
                <w:rFonts w:ascii="Arial" w:hAnsi="Arial"/>
                <w:color w:val="000000"/>
                <w:sz w:val="17"/>
              </w:rPr>
              <w:t>5V DC (120mA Peak)</w:t>
            </w:r>
          </w:p>
        </w:tc>
      </w:tr>
      <w:tr>
        <w:tc>
          <w:tcPr>
            <w:tcW w:type="dxa" w:w="2007"/>
            <w:tcMar>
              <w:top w:w="35" w:type="dxa"/>
              <w:bottom w:w="35" w:type="dxa"/>
              <w:left w:w="55" w:type="dxa"/>
              <w:right w:w="55" w:type="dxa"/>
            </w:tcMar>
          </w:tcPr>
          <w:p>
            <w:r>
              <w:rPr>
                <w:rFonts w:ascii="Arial" w:hAnsi="Arial"/>
                <w:color w:val="000000"/>
                <w:sz w:val="17"/>
              </w:rPr>
              <w:t>R307 Optical Sensor</w:t>
            </w:r>
          </w:p>
        </w:tc>
        <w:tc>
          <w:tcPr>
            <w:tcW w:type="dxa" w:w="2007"/>
            <w:tcMar>
              <w:top w:w="35" w:type="dxa"/>
              <w:bottom w:w="35" w:type="dxa"/>
              <w:left w:w="55" w:type="dxa"/>
              <w:right w:w="55" w:type="dxa"/>
            </w:tcMar>
          </w:tcPr>
          <w:p>
            <w:r>
              <w:rPr>
                <w:rFonts w:ascii="Arial" w:hAnsi="Arial"/>
                <w:color w:val="000000"/>
                <w:sz w:val="17"/>
              </w:rPr>
              <w:t>Pin 2 (Black Wire)</w:t>
            </w:r>
          </w:p>
        </w:tc>
        <w:tc>
          <w:tcPr>
            <w:tcW w:type="dxa" w:w="2007"/>
            <w:tcMar>
              <w:top w:w="35" w:type="dxa"/>
              <w:bottom w:w="35" w:type="dxa"/>
              <w:left w:w="55" w:type="dxa"/>
              <w:right w:w="55" w:type="dxa"/>
            </w:tcMar>
          </w:tcPr>
          <w:p>
            <w:r>
              <w:rPr>
                <w:rFonts w:ascii="Arial" w:hAnsi="Arial"/>
                <w:b/>
                <w:color w:val="000000"/>
                <w:sz w:val="17"/>
              </w:rPr>
              <w:t>GND Rail</w:t>
            </w:r>
          </w:p>
        </w:tc>
        <w:tc>
          <w:tcPr>
            <w:tcW w:type="dxa" w:w="2007"/>
            <w:tcMar>
              <w:top w:w="35" w:type="dxa"/>
              <w:bottom w:w="35" w:type="dxa"/>
              <w:left w:w="55" w:type="dxa"/>
              <w:right w:w="55" w:type="dxa"/>
            </w:tcMar>
          </w:tcPr>
          <w:p>
            <w:r>
              <w:rPr>
                <w:rFonts w:ascii="Arial" w:hAnsi="Arial"/>
                <w:color w:val="000000"/>
                <w:sz w:val="17"/>
              </w:rPr>
              <w:t>Common System Ground</w:t>
            </w:r>
          </w:p>
        </w:tc>
        <w:tc>
          <w:tcPr>
            <w:tcW w:type="dxa" w:w="2007"/>
            <w:tcMar>
              <w:top w:w="35" w:type="dxa"/>
              <w:bottom w:w="35" w:type="dxa"/>
              <w:left w:w="55" w:type="dxa"/>
              <w:right w:w="55" w:type="dxa"/>
            </w:tcMar>
          </w:tcPr>
          <w:p>
            <w:r>
              <w:rPr>
                <w:rFonts w:ascii="Arial" w:hAnsi="Arial"/>
                <w:color w:val="000000"/>
                <w:sz w:val="17"/>
              </w:rPr>
              <w:t>0V DC Reference</w:t>
            </w:r>
          </w:p>
        </w:tc>
      </w:tr>
      <w:tr>
        <w:tc>
          <w:tcPr>
            <w:tcW w:type="dxa" w:w="2007"/>
            <w:tcMar>
              <w:top w:w="35" w:type="dxa"/>
              <w:bottom w:w="35" w:type="dxa"/>
              <w:left w:w="55" w:type="dxa"/>
              <w:right w:w="55" w:type="dxa"/>
            </w:tcMar>
          </w:tcPr>
          <w:p>
            <w:r>
              <w:rPr>
                <w:rFonts w:ascii="Arial" w:hAnsi="Arial"/>
                <w:color w:val="000000"/>
                <w:sz w:val="17"/>
              </w:rPr>
              <w:t>R307 Optical Sensor</w:t>
            </w:r>
          </w:p>
        </w:tc>
        <w:tc>
          <w:tcPr>
            <w:tcW w:type="dxa" w:w="2007"/>
            <w:tcMar>
              <w:top w:w="35" w:type="dxa"/>
              <w:bottom w:w="35" w:type="dxa"/>
              <w:left w:w="55" w:type="dxa"/>
              <w:right w:w="55" w:type="dxa"/>
            </w:tcMar>
          </w:tcPr>
          <w:p>
            <w:r>
              <w:rPr>
                <w:rFonts w:ascii="Arial" w:hAnsi="Arial"/>
                <w:color w:val="000000"/>
                <w:sz w:val="17"/>
              </w:rPr>
              <w:t>Pin 3 (Yellow Wire)</w:t>
            </w:r>
          </w:p>
        </w:tc>
        <w:tc>
          <w:tcPr>
            <w:tcW w:type="dxa" w:w="2007"/>
            <w:tcMar>
              <w:top w:w="35" w:type="dxa"/>
              <w:bottom w:w="35" w:type="dxa"/>
              <w:left w:w="55" w:type="dxa"/>
              <w:right w:w="55" w:type="dxa"/>
            </w:tcMar>
          </w:tcPr>
          <w:p>
            <w:r>
              <w:rPr>
                <w:rFonts w:ascii="Arial" w:hAnsi="Arial"/>
                <w:b/>
                <w:color w:val="000000"/>
                <w:sz w:val="17"/>
              </w:rPr>
              <w:t>GPIO 16 (RX2)</w:t>
            </w:r>
          </w:p>
        </w:tc>
        <w:tc>
          <w:tcPr>
            <w:tcW w:type="dxa" w:w="2007"/>
            <w:tcMar>
              <w:top w:w="35" w:type="dxa"/>
              <w:bottom w:w="35" w:type="dxa"/>
              <w:left w:w="55" w:type="dxa"/>
              <w:right w:w="55" w:type="dxa"/>
            </w:tcMar>
          </w:tcPr>
          <w:p>
            <w:r>
              <w:rPr>
                <w:rFonts w:ascii="Arial" w:hAnsi="Arial"/>
                <w:color w:val="000000"/>
                <w:sz w:val="17"/>
              </w:rPr>
              <w:t>Sensor TX -&gt; ESP32 RX</w:t>
            </w:r>
          </w:p>
        </w:tc>
        <w:tc>
          <w:tcPr>
            <w:tcW w:type="dxa" w:w="2007"/>
            <w:tcMar>
              <w:top w:w="35" w:type="dxa"/>
              <w:bottom w:w="35" w:type="dxa"/>
              <w:left w:w="55" w:type="dxa"/>
              <w:right w:w="55" w:type="dxa"/>
            </w:tcMar>
          </w:tcPr>
          <w:p>
            <w:r>
              <w:rPr>
                <w:rFonts w:ascii="Arial" w:hAnsi="Arial"/>
                <w:color w:val="000000"/>
                <w:sz w:val="17"/>
              </w:rPr>
              <w:t>TTL 3.3V / 5V Logic</w:t>
            </w:r>
          </w:p>
        </w:tc>
      </w:tr>
      <w:tr>
        <w:tc>
          <w:tcPr>
            <w:tcW w:type="dxa" w:w="2007"/>
            <w:tcMar>
              <w:top w:w="35" w:type="dxa"/>
              <w:bottom w:w="35" w:type="dxa"/>
              <w:left w:w="55" w:type="dxa"/>
              <w:right w:w="55" w:type="dxa"/>
            </w:tcMar>
          </w:tcPr>
          <w:p>
            <w:r>
              <w:rPr>
                <w:rFonts w:ascii="Arial" w:hAnsi="Arial"/>
                <w:color w:val="000000"/>
                <w:sz w:val="17"/>
              </w:rPr>
              <w:t>R307 Optical Sensor</w:t>
            </w:r>
          </w:p>
        </w:tc>
        <w:tc>
          <w:tcPr>
            <w:tcW w:type="dxa" w:w="2007"/>
            <w:tcMar>
              <w:top w:w="35" w:type="dxa"/>
              <w:bottom w:w="35" w:type="dxa"/>
              <w:left w:w="55" w:type="dxa"/>
              <w:right w:w="55" w:type="dxa"/>
            </w:tcMar>
          </w:tcPr>
          <w:p>
            <w:r>
              <w:rPr>
                <w:rFonts w:ascii="Arial" w:hAnsi="Arial"/>
                <w:color w:val="000000"/>
                <w:sz w:val="17"/>
              </w:rPr>
              <w:t>Pin 4 (Green Wire)</w:t>
            </w:r>
          </w:p>
        </w:tc>
        <w:tc>
          <w:tcPr>
            <w:tcW w:type="dxa" w:w="2007"/>
            <w:tcMar>
              <w:top w:w="35" w:type="dxa"/>
              <w:bottom w:w="35" w:type="dxa"/>
              <w:left w:w="55" w:type="dxa"/>
              <w:right w:w="55" w:type="dxa"/>
            </w:tcMar>
          </w:tcPr>
          <w:p>
            <w:r>
              <w:rPr>
                <w:rFonts w:ascii="Arial" w:hAnsi="Arial"/>
                <w:b/>
                <w:color w:val="000000"/>
                <w:sz w:val="17"/>
              </w:rPr>
              <w:t>GPIO 17 (TX2)</w:t>
            </w:r>
          </w:p>
        </w:tc>
        <w:tc>
          <w:tcPr>
            <w:tcW w:type="dxa" w:w="2007"/>
            <w:tcMar>
              <w:top w:w="35" w:type="dxa"/>
              <w:bottom w:w="35" w:type="dxa"/>
              <w:left w:w="55" w:type="dxa"/>
              <w:right w:w="55" w:type="dxa"/>
            </w:tcMar>
          </w:tcPr>
          <w:p>
            <w:r>
              <w:rPr>
                <w:rFonts w:ascii="Arial" w:hAnsi="Arial"/>
                <w:color w:val="000000"/>
                <w:sz w:val="17"/>
              </w:rPr>
              <w:t>ESP32 TX -&gt; Sensor RX</w:t>
            </w:r>
          </w:p>
        </w:tc>
        <w:tc>
          <w:tcPr>
            <w:tcW w:type="dxa" w:w="2007"/>
            <w:tcMar>
              <w:top w:w="35" w:type="dxa"/>
              <w:bottom w:w="35" w:type="dxa"/>
              <w:left w:w="55" w:type="dxa"/>
              <w:right w:w="55" w:type="dxa"/>
            </w:tcMar>
          </w:tcPr>
          <w:p>
            <w:r>
              <w:rPr>
                <w:rFonts w:ascii="Arial" w:hAnsi="Arial"/>
                <w:color w:val="000000"/>
                <w:sz w:val="17"/>
              </w:rPr>
              <w:t>TTL 3.3V Logic</w:t>
            </w:r>
          </w:p>
        </w:tc>
      </w:tr>
      <w:tr>
        <w:tc>
          <w:tcPr>
            <w:tcW w:type="dxa" w:w="2007"/>
            <w:tcMar>
              <w:top w:w="35" w:type="dxa"/>
              <w:bottom w:w="35" w:type="dxa"/>
              <w:left w:w="55" w:type="dxa"/>
              <w:right w:w="55" w:type="dxa"/>
            </w:tcMar>
          </w:tcPr>
          <w:p>
            <w:r>
              <w:rPr>
                <w:rFonts w:ascii="Arial" w:hAnsi="Arial"/>
                <w:color w:val="000000"/>
                <w:sz w:val="17"/>
              </w:rPr>
              <w:t>Active Piezo Buzzer</w:t>
            </w:r>
          </w:p>
        </w:tc>
        <w:tc>
          <w:tcPr>
            <w:tcW w:type="dxa" w:w="2007"/>
            <w:tcMar>
              <w:top w:w="35" w:type="dxa"/>
              <w:bottom w:w="35" w:type="dxa"/>
              <w:left w:w="55" w:type="dxa"/>
              <w:right w:w="55" w:type="dxa"/>
            </w:tcMar>
          </w:tcPr>
          <w:p>
            <w:r>
              <w:rPr>
                <w:rFonts w:ascii="Arial" w:hAnsi="Arial"/>
                <w:color w:val="000000"/>
                <w:sz w:val="17"/>
              </w:rPr>
              <w:t>Positive Lead (+)</w:t>
            </w:r>
          </w:p>
        </w:tc>
        <w:tc>
          <w:tcPr>
            <w:tcW w:type="dxa" w:w="2007"/>
            <w:tcMar>
              <w:top w:w="35" w:type="dxa"/>
              <w:bottom w:w="35" w:type="dxa"/>
              <w:left w:w="55" w:type="dxa"/>
              <w:right w:w="55" w:type="dxa"/>
            </w:tcMar>
          </w:tcPr>
          <w:p>
            <w:r>
              <w:rPr>
                <w:rFonts w:ascii="Arial" w:hAnsi="Arial"/>
                <w:b/>
                <w:color w:val="000000"/>
                <w:sz w:val="17"/>
              </w:rPr>
              <w:t>GPIO 4 (DO)</w:t>
            </w:r>
          </w:p>
        </w:tc>
        <w:tc>
          <w:tcPr>
            <w:tcW w:type="dxa" w:w="2007"/>
            <w:tcMar>
              <w:top w:w="35" w:type="dxa"/>
              <w:bottom w:w="35" w:type="dxa"/>
              <w:left w:w="55" w:type="dxa"/>
              <w:right w:w="55" w:type="dxa"/>
            </w:tcMar>
          </w:tcPr>
          <w:p>
            <w:r>
              <w:rPr>
                <w:rFonts w:ascii="Arial" w:hAnsi="Arial"/>
                <w:color w:val="000000"/>
                <w:sz w:val="17"/>
              </w:rPr>
              <w:t>Acoustic Trigger Output</w:t>
            </w:r>
          </w:p>
        </w:tc>
        <w:tc>
          <w:tcPr>
            <w:tcW w:type="dxa" w:w="2007"/>
            <w:tcMar>
              <w:top w:w="35" w:type="dxa"/>
              <w:bottom w:w="35" w:type="dxa"/>
              <w:left w:w="55" w:type="dxa"/>
              <w:right w:w="55" w:type="dxa"/>
            </w:tcMar>
          </w:tcPr>
          <w:p>
            <w:r>
              <w:rPr>
                <w:rFonts w:ascii="Arial" w:hAnsi="Arial"/>
                <w:color w:val="000000"/>
                <w:sz w:val="17"/>
              </w:rPr>
              <w:t>3.3V Logic Signal</w:t>
            </w:r>
          </w:p>
        </w:tc>
      </w:tr>
      <w:tr>
        <w:tc>
          <w:tcPr>
            <w:tcW w:type="dxa" w:w="2007"/>
            <w:tcMar>
              <w:top w:w="35" w:type="dxa"/>
              <w:bottom w:w="35" w:type="dxa"/>
              <w:left w:w="55" w:type="dxa"/>
              <w:right w:w="55" w:type="dxa"/>
            </w:tcMar>
          </w:tcPr>
          <w:p>
            <w:r>
              <w:rPr>
                <w:rFonts w:ascii="Arial" w:hAnsi="Arial"/>
                <w:color w:val="000000"/>
                <w:sz w:val="17"/>
              </w:rPr>
              <w:t>Active Piezo Buzzer</w:t>
            </w:r>
          </w:p>
        </w:tc>
        <w:tc>
          <w:tcPr>
            <w:tcW w:type="dxa" w:w="2007"/>
            <w:tcMar>
              <w:top w:w="35" w:type="dxa"/>
              <w:bottom w:w="35" w:type="dxa"/>
              <w:left w:w="55" w:type="dxa"/>
              <w:right w:w="55" w:type="dxa"/>
            </w:tcMar>
          </w:tcPr>
          <w:p>
            <w:r>
              <w:rPr>
                <w:rFonts w:ascii="Arial" w:hAnsi="Arial"/>
                <w:color w:val="000000"/>
                <w:sz w:val="17"/>
              </w:rPr>
              <w:t>Negative Lead (-)</w:t>
            </w:r>
          </w:p>
        </w:tc>
        <w:tc>
          <w:tcPr>
            <w:tcW w:type="dxa" w:w="2007"/>
            <w:tcMar>
              <w:top w:w="35" w:type="dxa"/>
              <w:bottom w:w="35" w:type="dxa"/>
              <w:left w:w="55" w:type="dxa"/>
              <w:right w:w="55" w:type="dxa"/>
            </w:tcMar>
          </w:tcPr>
          <w:p>
            <w:r>
              <w:rPr>
                <w:rFonts w:ascii="Arial" w:hAnsi="Arial"/>
                <w:b/>
                <w:color w:val="000000"/>
                <w:sz w:val="17"/>
              </w:rPr>
              <w:t>GND Rail</w:t>
            </w:r>
          </w:p>
        </w:tc>
        <w:tc>
          <w:tcPr>
            <w:tcW w:type="dxa" w:w="2007"/>
            <w:tcMar>
              <w:top w:w="35" w:type="dxa"/>
              <w:bottom w:w="35" w:type="dxa"/>
              <w:left w:w="55" w:type="dxa"/>
              <w:right w:w="55" w:type="dxa"/>
            </w:tcMar>
          </w:tcPr>
          <w:p>
            <w:r>
              <w:rPr>
                <w:rFonts w:ascii="Arial" w:hAnsi="Arial"/>
                <w:color w:val="000000"/>
                <w:sz w:val="17"/>
              </w:rPr>
              <w:t>Acoustic Ground Return</w:t>
            </w:r>
          </w:p>
        </w:tc>
        <w:tc>
          <w:tcPr>
            <w:tcW w:type="dxa" w:w="2007"/>
            <w:tcMar>
              <w:top w:w="35" w:type="dxa"/>
              <w:bottom w:w="35" w:type="dxa"/>
              <w:left w:w="55" w:type="dxa"/>
              <w:right w:w="55" w:type="dxa"/>
            </w:tcMar>
          </w:tcPr>
          <w:p>
            <w:r>
              <w:rPr>
                <w:rFonts w:ascii="Arial" w:hAnsi="Arial"/>
                <w:color w:val="000000"/>
                <w:sz w:val="17"/>
              </w:rPr>
              <w:t>0V DC Reference</w:t>
            </w:r>
          </w:p>
        </w:tc>
      </w:tr>
      <w:tr>
        <w:tc>
          <w:tcPr>
            <w:tcW w:type="dxa" w:w="2007"/>
            <w:tcMar>
              <w:top w:w="35" w:type="dxa"/>
              <w:bottom w:w="35" w:type="dxa"/>
              <w:left w:w="55" w:type="dxa"/>
              <w:right w:w="55" w:type="dxa"/>
            </w:tcMar>
          </w:tcPr>
          <w:p>
            <w:r>
              <w:rPr>
                <w:rFonts w:ascii="Arial" w:hAnsi="Arial"/>
                <w:color w:val="000000"/>
                <w:sz w:val="17"/>
              </w:rPr>
              <w:t>Micro-USB Power</w:t>
            </w:r>
          </w:p>
        </w:tc>
        <w:tc>
          <w:tcPr>
            <w:tcW w:type="dxa" w:w="2007"/>
            <w:tcMar>
              <w:top w:w="35" w:type="dxa"/>
              <w:bottom w:w="35" w:type="dxa"/>
              <w:left w:w="55" w:type="dxa"/>
              <w:right w:w="55" w:type="dxa"/>
            </w:tcMar>
          </w:tcPr>
          <w:p>
            <w:r>
              <w:rPr>
                <w:rFonts w:ascii="Arial" w:hAnsi="Arial"/>
                <w:color w:val="000000"/>
                <w:sz w:val="17"/>
              </w:rPr>
              <w:t>USB Port</w:t>
            </w:r>
          </w:p>
        </w:tc>
        <w:tc>
          <w:tcPr>
            <w:tcW w:type="dxa" w:w="2007"/>
            <w:tcMar>
              <w:top w:w="35" w:type="dxa"/>
              <w:bottom w:w="35" w:type="dxa"/>
              <w:left w:w="55" w:type="dxa"/>
              <w:right w:w="55" w:type="dxa"/>
            </w:tcMar>
          </w:tcPr>
          <w:p>
            <w:r>
              <w:rPr>
                <w:rFonts w:ascii="Arial" w:hAnsi="Arial"/>
                <w:b/>
                <w:color w:val="000000"/>
                <w:sz w:val="17"/>
              </w:rPr>
              <w:t>5V Input Bus</w:t>
            </w:r>
          </w:p>
        </w:tc>
        <w:tc>
          <w:tcPr>
            <w:tcW w:type="dxa" w:w="2007"/>
            <w:tcMar>
              <w:top w:w="35" w:type="dxa"/>
              <w:bottom w:w="35" w:type="dxa"/>
              <w:left w:w="55" w:type="dxa"/>
              <w:right w:w="55" w:type="dxa"/>
            </w:tcMar>
          </w:tcPr>
          <w:p>
            <w:r>
              <w:rPr>
                <w:rFonts w:ascii="Arial" w:hAnsi="Arial"/>
                <w:color w:val="000000"/>
                <w:sz w:val="17"/>
              </w:rPr>
              <w:t>Regulated Power Rail</w:t>
            </w:r>
          </w:p>
        </w:tc>
        <w:tc>
          <w:tcPr>
            <w:tcW w:type="dxa" w:w="2007"/>
            <w:tcMar>
              <w:top w:w="35" w:type="dxa"/>
              <w:bottom w:w="35" w:type="dxa"/>
              <w:left w:w="55" w:type="dxa"/>
              <w:right w:w="55" w:type="dxa"/>
            </w:tcMar>
          </w:tcPr>
          <w:p>
            <w:r>
              <w:rPr>
                <w:rFonts w:ascii="Arial" w:hAnsi="Arial"/>
                <w:color w:val="000000"/>
                <w:sz w:val="17"/>
              </w:rPr>
              <w:t>5V @ 1A Supply</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UART Protocol Frame Structure:</w:t>
              <w:br/>
            </w:r>
            <w:r>
              <w:rPr>
                <w:rFonts w:ascii="Arial" w:hAnsi="Arial"/>
                <w:color w:val="000000"/>
                <w:sz w:val="19"/>
              </w:rPr>
              <w:t>Serial communication operates at 57,600 baud (8 data bits, 1 stop bit, no parity). Packets follow strict framing: Header (0xEF01) -&gt; Module Address (0xFFFFFFFF) -&gt; Package PID (0x01 Command / 0x07 Data / 0x02 Ack) -&gt; Packet Length -&gt; Payload Instruction -&gt; 16-bit Checksum.</w:t>
            </w:r>
          </w:p>
        </w:tc>
      </w:tr>
    </w:tbl>
    <w:p>
      <w:pPr>
        <w:spacing w:before="160" w:after="80"/>
      </w:pPr>
      <w:r>
        <w:rPr>
          <w:rFonts w:ascii="Arial" w:hAnsi="Arial"/>
          <w:b/>
          <w:color w:val="000000"/>
          <w:sz w:val="23"/>
        </w:rPr>
        <w:t>6. PHOTOGRAPHIC EVIDENCE &amp; BREADBOARD PROTOTYPE VERIFICATION</w:t>
      </w:r>
    </w:p>
    <w:p>
      <w:pPr>
        <w:spacing w:after="100" w:line="288" w:lineRule="auto"/>
      </w:pPr>
      <w:r>
        <w:rPr>
          <w:rFonts w:ascii="Arial" w:hAnsi="Arial"/>
          <w:color w:val="000000"/>
          <w:sz w:val="20"/>
        </w:rPr>
        <w:t>The operational prototype was constructed and tested on a solderless breadboard. The optical sensor is positioned at the prototyping edge for unrestricted fingertip placement, with short-run jumpers minimizing capacitive noise on the UART high-speed lines:</w:t>
      </w:r>
    </w:p>
    <w:p>
      <w:pPr>
        <w:spacing w:before="80" w:after="40"/>
        <w:jc w:val="center"/>
      </w:pPr>
      <w:r>
        <w:drawing>
          <wp:inline xmlns:a="http://schemas.openxmlformats.org/drawingml/2006/main" xmlns:pic="http://schemas.openxmlformats.org/drawingml/2006/picture">
            <wp:extent cx="3017520" cy="4023360"/>
            <wp:docPr id="1" name="Picture 1"/>
            <wp:cNvGraphicFramePr>
              <a:graphicFrameLocks noChangeAspect="1"/>
            </wp:cNvGraphicFramePr>
            <a:graphic>
              <a:graphicData uri="http://schemas.openxmlformats.org/drawingml/2006/picture">
                <pic:pic>
                  <pic:nvPicPr>
                    <pic:cNvPr id="0" name="prototype-hardware.jpg"/>
                    <pic:cNvPicPr/>
                  </pic:nvPicPr>
                  <pic:blipFill>
                    <a:blip r:embed="rId9"/>
                    <a:stretch>
                      <a:fillRect/>
                    </a:stretch>
                  </pic:blipFill>
                  <pic:spPr>
                    <a:xfrm>
                      <a:off x="0" y="0"/>
                      <a:ext cx="3017520" cy="4023360"/>
                    </a:xfrm>
                    <a:prstGeom prst="rect"/>
                  </pic:spPr>
                </pic:pic>
              </a:graphicData>
            </a:graphic>
          </wp:inline>
        </w:drawing>
      </w:r>
    </w:p>
    <w:p>
      <w:pPr>
        <w:jc w:val="center"/>
      </w:pPr>
      <w:r>
        <w:rPr>
          <w:rFonts w:ascii="Arial" w:hAnsi="Arial"/>
          <w:b/>
          <w:color w:val="000000"/>
          <w:sz w:val="17"/>
        </w:rPr>
        <w:t>Fig 3.1: Operational Solderless Prototype Hardware Assembly — ESP32 WROOM-32, R307 Optical Prism &amp; Piezo Chime</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Hardware Setup Verification Highlights:</w:t>
              <w:br/>
            </w:r>
            <w:r>
              <w:rPr>
                <w:rFonts w:ascii="Arial" w:hAnsi="Arial"/>
                <w:color w:val="000000"/>
                <w:sz w:val="19"/>
              </w:rPr>
              <w:t>• Voltage Stabilization: ESP32 onboard low-dropout (LDO) regulator ensures a steady 3.3V rail without brownout resets.</w:t>
              <w:br/>
              <w:t>• Optical Indicator: Blue status LED confirms active 5V power delivery to the R307 optical sensing assembly.</w:t>
              <w:br/>
              <w:t>• Acoustic Chime: Piezo buzzer provides immediate audio feedback (single 80ms chime on pass, double 250ms buzz on fail).</w:t>
              <w:br/>
              <w:t>• Bus Reliability: Hardware UART2 ensures zero packet dropping during multi-candidate laboratory roll calls.</w:t>
            </w:r>
          </w:p>
        </w:tc>
      </w:tr>
    </w:tbl>
    <w:p>
      <w:pPr>
        <w:jc w:val="right"/>
      </w:pPr>
      <w:r>
        <w:rPr>
          <w:rFonts w:ascii="Arial" w:hAnsi="Arial"/>
          <w:b/>
          <w:color w:val="000000"/>
          <w:sz w:val="16"/>
        </w:rPr>
        <w:t>PBCOE Department of Electronics &amp; Telecommunication Engineering | Embedded Systems | Activity - 2 | Page 3 of 6</w:t>
      </w:r>
    </w:p>
    <w:p>
      <w:r>
        <w:br w:type="page"/>
      </w:r>
    </w:p>
    <w:p>
      <w:pPr>
        <w:spacing w:after="120"/>
        <w:jc w:val="right"/>
      </w:pPr>
      <w:r>
        <w:rPr>
          <w:rFonts w:ascii="Arial" w:hAnsi="Arial"/>
          <w:b/>
          <w:color w:val="000000"/>
          <w:sz w:val="17"/>
        </w:rPr>
        <w:t>ACTIVITY - 2 // EMBEDDED SYSTEMS (ET501T / ET503P) — YUVRAJ LOKHANDE | PRN: 24121227</w:t>
      </w:r>
    </w:p>
    <w:p>
      <w:pPr>
        <w:spacing w:before="160" w:after="80"/>
      </w:pPr>
      <w:r>
        <w:rPr>
          <w:rFonts w:ascii="Arial" w:hAnsi="Arial"/>
          <w:b/>
          <w:color w:val="000000"/>
          <w:sz w:val="23"/>
        </w:rPr>
        <w:t>7. END-TO-END SYSTEM ARCHITECTURE &amp; TELEMETRY PIPELINE</w:t>
      </w:r>
    </w:p>
    <w:p>
      <w:pPr>
        <w:spacing w:after="100" w:line="288" w:lineRule="auto"/>
      </w:pPr>
      <w:r>
        <w:rPr>
          <w:rFonts w:ascii="Arial" w:hAnsi="Arial"/>
          <w:color w:val="000000"/>
          <w:sz w:val="20"/>
        </w:rPr>
        <w:t>The biometric telemetry platform establishes a robust multi-layer IoT architecture spanning the physical edge, local serial communications, cloud REST gateways, and the responsive web portal:</w:t>
      </w:r>
    </w:p>
    <w:p>
      <w:pPr>
        <w:spacing w:before="80" w:after="40"/>
        <w:jc w:val="center"/>
      </w:pPr>
      <w:r>
        <w:drawing>
          <wp:inline xmlns:a="http://schemas.openxmlformats.org/drawingml/2006/main" xmlns:pic="http://schemas.openxmlformats.org/drawingml/2006/picture">
            <wp:extent cx="4389120" cy="2449741"/>
            <wp:docPr id="2" name="Picture 2"/>
            <wp:cNvGraphicFramePr>
              <a:graphicFrameLocks noChangeAspect="1"/>
            </wp:cNvGraphicFramePr>
            <a:graphic>
              <a:graphicData uri="http://schemas.openxmlformats.org/drawingml/2006/picture">
                <pic:pic>
                  <pic:nvPicPr>
                    <pic:cNvPr id="0" name="architecture-diagram.jpg"/>
                    <pic:cNvPicPr/>
                  </pic:nvPicPr>
                  <pic:blipFill>
                    <a:blip r:embed="rId10"/>
                    <a:stretch>
                      <a:fillRect/>
                    </a:stretch>
                  </pic:blipFill>
                  <pic:spPr>
                    <a:xfrm>
                      <a:off x="0" y="0"/>
                      <a:ext cx="4389120" cy="2449741"/>
                    </a:xfrm>
                    <a:prstGeom prst="rect"/>
                  </pic:spPr>
                </pic:pic>
              </a:graphicData>
            </a:graphic>
          </wp:inline>
        </w:drawing>
      </w:r>
    </w:p>
    <w:p>
      <w:pPr>
        <w:jc w:val="center"/>
      </w:pPr>
      <w:r>
        <w:rPr>
          <w:rFonts w:ascii="Arial" w:hAnsi="Arial"/>
          <w:b/>
          <w:color w:val="000000"/>
          <w:sz w:val="17"/>
        </w:rPr>
        <w:t>Fig 4.1: Technical Engineering Architecture — Edge Sensing Node, ESP32 Cloud Gateway &amp; Supabase PostgreSQL Stream</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1. Edge Verification Engine:</w:t>
              <w:br/>
            </w:r>
            <w:r>
              <w:rPr>
                <w:rFonts w:ascii="Arial" w:hAnsi="Arial"/>
                <w:color w:val="000000"/>
                <w:sz w:val="19"/>
              </w:rPr>
              <w:t>The R307 optical prism captures fingertip minutiae and compares vectors against flash memory templates #1 to #65. Upon positive match, candidate slot ID and confidence score are transferred over UART2 in &lt;280ms.</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2. Supabase Cloud Pipeline:</w:t>
              <w:br/>
            </w:r>
            <w:r>
              <w:rPr>
                <w:rFonts w:ascii="Arial" w:hAnsi="Arial"/>
                <w:color w:val="000000"/>
                <w:sz w:val="19"/>
              </w:rPr>
              <w:t>The ESP32 constructs a structured JSON payload and dispatches an HTTPS POST over TLS 1.3 to /rest/v1/attendance_logs, triggering instantaneous database replication across active portal sessions.</w:t>
            </w:r>
          </w:p>
        </w:tc>
      </w:tr>
    </w:tbl>
    <w:p>
      <w:pPr>
        <w:spacing w:before="160" w:after="80"/>
      </w:pPr>
      <w:r>
        <w:rPr>
          <w:rFonts w:ascii="Arial" w:hAnsi="Arial"/>
          <w:b/>
          <w:color w:val="000000"/>
          <w:sz w:val="23"/>
        </w:rPr>
        <w:t>8. DUAL-PASS OPTICAL ENROLLMENT &amp; VERIFICATION STATE MACHINE</w:t>
      </w:r>
    </w:p>
    <w:p>
      <w:pPr>
        <w:spacing w:after="100" w:line="288" w:lineRule="auto"/>
      </w:pPr>
      <w:r>
        <w:rPr>
          <w:rFonts w:ascii="Arial" w:hAnsi="Arial"/>
          <w:color w:val="000000"/>
          <w:sz w:val="20"/>
        </w:rPr>
        <w:t>To eliminate erroneous partial scans and minimize false rejections, candidate registration strictly enforces a 4-state dual-pass protocol executed cooperatively between the web portal and the embedded firmware:</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Four-Stage Optical Enrollment Protocol:</w:t>
              <w:br/>
            </w:r>
            <w:r>
              <w:rPr>
                <w:rFonts w:ascii="Arial" w:hAnsi="Arial"/>
                <w:color w:val="000000"/>
                <w:sz w:val="19"/>
              </w:rPr>
              <w:t>• State 1 (Primary Optical Acquisition): Sensor LED illuminates. Candidate places fingertip on prism. First image is captured and converted into character buffer 1 (CharBuffer1). Buzzer sounds an 80ms pulse.</w:t>
              <w:br/>
              <w:t>• State 2 (Finger Removal Detection): Firmware loop polls finger.getImage() until FINGERPRINT_NOFINGER is asserted, preventing accidental duplicate sampling of the same touch.</w:t>
              <w:br/>
              <w:t>• State 3 (Secondary Validation Pass): Candidate touches sensor again. Second image is digitized and converted into CharBuffer2.</w:t>
              <w:br/>
              <w:t>• State 4 (Vector Correlation &amp; Flash Commitment): Firmware triggers finger.createModel(). If correlation coefficient exceeds 92%, combined template is committed to assigned slot ID (1 to 65). Double acoustic chime confirms success.</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Dual-Core FreeRTOS Task Scheduling &amp; Fault Recovery:</w:t>
              <w:br/>
            </w:r>
            <w:r>
              <w:rPr>
                <w:rFonts w:ascii="Arial" w:hAnsi="Arial"/>
                <w:color w:val="000000"/>
                <w:sz w:val="19"/>
              </w:rPr>
              <w:t>To ensure zero scan lag during network latency, the firmware executes cooperative multitasking on the ESP32:</w:t>
              <w:br/>
              <w:t>Core 1 executes the real-time biometric scanning task with deterministic sub-millisecond priority, while Core 0 manages the TCP/IP stack, TLS cryptographic handshakes, and HTTPS telemetry transmission. If Wi-Fi disconnects, check-in records are buffered locally in non-volatile flash (NVS) and automatically flushed upon reconnection.</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Cryptographic Payload Integrity &amp; REST Schema:</w:t>
              <w:br/>
            </w:r>
            <w:r>
              <w:rPr>
                <w:rFonts w:ascii="Arial" w:hAnsi="Arial"/>
                <w:color w:val="000000"/>
                <w:sz w:val="19"/>
              </w:rPr>
              <w:t>Each attendance record dispatched to Supabase conforms to strict schema validation: {"student_prn": 24121227, "slot_id": 16, "status": "PRESENT", "auth_mode": "BIOMETRIC_FTIR", "device_mac": "ESP32_ETC_01", "timestamp_utc": "2026-10-26T04:30:00Z"}. Row-Level Security (RLS) policies restrict inserts solely to authenticated node tokens.</w:t>
            </w:r>
          </w:p>
        </w:tc>
      </w:tr>
    </w:tbl>
    <w:p>
      <w:pPr>
        <w:jc w:val="right"/>
      </w:pPr>
      <w:r>
        <w:rPr>
          <w:rFonts w:ascii="Arial" w:hAnsi="Arial"/>
          <w:b/>
          <w:color w:val="000000"/>
          <w:sz w:val="16"/>
        </w:rPr>
        <w:t>PBCOE Department of Electronics &amp; Telecommunication Engineering | Embedded Systems | Activity - 2 | Page 4 of 6</w:t>
      </w:r>
    </w:p>
    <w:p>
      <w:r>
        <w:br w:type="page"/>
      </w:r>
    </w:p>
    <w:p>
      <w:pPr>
        <w:spacing w:after="120"/>
        <w:jc w:val="right"/>
      </w:pPr>
      <w:r>
        <w:rPr>
          <w:rFonts w:ascii="Arial" w:hAnsi="Arial"/>
          <w:b/>
          <w:color w:val="000000"/>
          <w:sz w:val="17"/>
        </w:rPr>
        <w:t>ACTIVITY - 2 // EMBEDDED SYSTEMS (ET501T / ET503P) — YUVRAJ LOKHANDE | PRN: 24121227</w:t>
      </w:r>
    </w:p>
    <w:p>
      <w:pPr>
        <w:spacing w:before="160" w:after="80"/>
      </w:pPr>
      <w:r>
        <w:rPr>
          <w:rFonts w:ascii="Arial" w:hAnsi="Arial"/>
          <w:b/>
          <w:color w:val="000000"/>
          <w:sz w:val="23"/>
        </w:rPr>
        <w:t>9. EXPERIMENTAL RESULTS &amp; PERFORMANCE BENCHMARKS (65-STUDENT COHORT)</w:t>
      </w:r>
    </w:p>
    <w:p>
      <w:pPr>
        <w:spacing w:after="100" w:line="288" w:lineRule="auto"/>
      </w:pPr>
      <w:r>
        <w:rPr>
          <w:rFonts w:ascii="Arial" w:hAnsi="Arial"/>
          <w:color w:val="000000"/>
          <w:sz w:val="20"/>
        </w:rPr>
        <w:t>The fully assembled embedded system underwent exhaustive empirical evaluation with the 5th Semester ETC cohort of 65 students in the Embedded Systems laboratory. Performance was tested across 250 trial cycles: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509"/>
            <w:tcMar>
              <w:top w:w="35" w:type="dxa"/>
              <w:bottom w:w="35" w:type="dxa"/>
              <w:left w:w="55" w:type="dxa"/>
              <w:right w:w="55" w:type="dxa"/>
            </w:tcMar>
            <w:shd w:fill="000000"/>
          </w:tcPr>
          <w:p>
            <w:r>
              <w:rPr>
                <w:rFonts w:ascii="Arial" w:hAnsi="Arial"/>
                <w:b/>
                <w:color w:val="FFFFFF"/>
                <w:sz w:val="17"/>
              </w:rPr>
              <w:t>Evaluation Benchmark Metric</w:t>
            </w:r>
          </w:p>
        </w:tc>
        <w:tc>
          <w:tcPr>
            <w:tcW w:type="dxa" w:w="2509"/>
            <w:tcMar>
              <w:top w:w="35" w:type="dxa"/>
              <w:bottom w:w="35" w:type="dxa"/>
              <w:left w:w="55" w:type="dxa"/>
              <w:right w:w="55" w:type="dxa"/>
            </w:tcMar>
            <w:shd w:fill="000000"/>
          </w:tcPr>
          <w:p>
            <w:r>
              <w:rPr>
                <w:rFonts w:ascii="Arial" w:hAnsi="Arial"/>
                <w:b/>
                <w:color w:val="FFFFFF"/>
                <w:sz w:val="17"/>
              </w:rPr>
              <w:t>Observed Experimental Result</w:t>
            </w:r>
          </w:p>
        </w:tc>
        <w:tc>
          <w:tcPr>
            <w:tcW w:type="dxa" w:w="2509"/>
            <w:tcMar>
              <w:top w:w="35" w:type="dxa"/>
              <w:bottom w:w="35" w:type="dxa"/>
              <w:left w:w="55" w:type="dxa"/>
              <w:right w:w="55" w:type="dxa"/>
            </w:tcMar>
            <w:shd w:fill="000000"/>
          </w:tcPr>
          <w:p>
            <w:r>
              <w:rPr>
                <w:rFonts w:ascii="Arial" w:hAnsi="Arial"/>
                <w:b/>
                <w:color w:val="FFFFFF"/>
                <w:sz w:val="17"/>
              </w:rPr>
              <w:t>Standard Target Metric</w:t>
            </w:r>
          </w:p>
        </w:tc>
        <w:tc>
          <w:tcPr>
            <w:tcW w:type="dxa" w:w="2509"/>
            <w:tcMar>
              <w:top w:w="35" w:type="dxa"/>
              <w:bottom w:w="35" w:type="dxa"/>
              <w:left w:w="55" w:type="dxa"/>
              <w:right w:w="55" w:type="dxa"/>
            </w:tcMar>
            <w:shd w:fill="000000"/>
          </w:tcPr>
          <w:p>
            <w:r>
              <w:rPr>
                <w:rFonts w:ascii="Arial" w:hAnsi="Arial"/>
                <w:b/>
                <w:color w:val="FFFFFF"/>
                <w:sz w:val="17"/>
              </w:rPr>
              <w:t>Verification Status</w:t>
            </w:r>
          </w:p>
        </w:tc>
      </w:tr>
      <w:tr>
        <w:tc>
          <w:tcPr>
            <w:tcW w:type="dxa" w:w="2509"/>
            <w:tcMar>
              <w:top w:w="35" w:type="dxa"/>
              <w:bottom w:w="35" w:type="dxa"/>
              <w:left w:w="55" w:type="dxa"/>
              <w:right w:w="55" w:type="dxa"/>
            </w:tcMar>
          </w:tcPr>
          <w:p>
            <w:r>
              <w:rPr>
                <w:rFonts w:ascii="Arial" w:hAnsi="Arial"/>
                <w:color w:val="000000"/>
                <w:sz w:val="17"/>
              </w:rPr>
              <w:t>Total Cohort Capacity Tested</w:t>
            </w:r>
          </w:p>
        </w:tc>
        <w:tc>
          <w:tcPr>
            <w:tcW w:type="dxa" w:w="2509"/>
            <w:tcMar>
              <w:top w:w="35" w:type="dxa"/>
              <w:bottom w:w="35" w:type="dxa"/>
              <w:left w:w="55" w:type="dxa"/>
              <w:right w:w="55" w:type="dxa"/>
            </w:tcMar>
          </w:tcPr>
          <w:p>
            <w:r>
              <w:rPr>
                <w:rFonts w:ascii="Arial" w:hAnsi="Arial"/>
                <w:b/>
                <w:color w:val="000000"/>
                <w:sz w:val="17"/>
              </w:rPr>
              <w:t>65 Enrolled Candidates</w:t>
            </w:r>
          </w:p>
        </w:tc>
        <w:tc>
          <w:tcPr>
            <w:tcW w:type="dxa" w:w="2509"/>
            <w:tcMar>
              <w:top w:w="35" w:type="dxa"/>
              <w:bottom w:w="35" w:type="dxa"/>
              <w:left w:w="55" w:type="dxa"/>
              <w:right w:w="55" w:type="dxa"/>
            </w:tcMar>
          </w:tcPr>
          <w:p>
            <w:r>
              <w:rPr>
                <w:rFonts w:ascii="Arial" w:hAnsi="Arial"/>
                <w:color w:val="000000"/>
                <w:sz w:val="17"/>
              </w:rPr>
              <w:t>60 Students (Dept Intake)</w:t>
            </w:r>
          </w:p>
        </w:tc>
        <w:tc>
          <w:tcPr>
            <w:tcW w:type="dxa" w:w="2509"/>
            <w:tcMar>
              <w:top w:w="35" w:type="dxa"/>
              <w:bottom w:w="35" w:type="dxa"/>
              <w:left w:w="55" w:type="dxa"/>
              <w:right w:w="55" w:type="dxa"/>
            </w:tcMar>
          </w:tcPr>
          <w:p>
            <w:r>
              <w:rPr>
                <w:rFonts w:ascii="Arial" w:hAnsi="Arial"/>
                <w:b/>
                <w:color w:val="000000"/>
                <w:sz w:val="17"/>
              </w:rPr>
              <w:t>100% Cohort Covered</w:t>
            </w:r>
          </w:p>
        </w:tc>
      </w:tr>
      <w:tr>
        <w:tc>
          <w:tcPr>
            <w:tcW w:type="dxa" w:w="2509"/>
            <w:tcMar>
              <w:top w:w="35" w:type="dxa"/>
              <w:bottom w:w="35" w:type="dxa"/>
              <w:left w:w="55" w:type="dxa"/>
              <w:right w:w="55" w:type="dxa"/>
            </w:tcMar>
          </w:tcPr>
          <w:p>
            <w:r>
              <w:rPr>
                <w:rFonts w:ascii="Arial" w:hAnsi="Arial"/>
                <w:color w:val="000000"/>
                <w:sz w:val="17"/>
              </w:rPr>
              <w:t>Optical Image Capture Time</w:t>
            </w:r>
          </w:p>
        </w:tc>
        <w:tc>
          <w:tcPr>
            <w:tcW w:type="dxa" w:w="2509"/>
            <w:tcMar>
              <w:top w:w="35" w:type="dxa"/>
              <w:bottom w:w="35" w:type="dxa"/>
              <w:left w:w="55" w:type="dxa"/>
              <w:right w:w="55" w:type="dxa"/>
            </w:tcMar>
          </w:tcPr>
          <w:p>
            <w:r>
              <w:rPr>
                <w:rFonts w:ascii="Arial" w:hAnsi="Arial"/>
                <w:b/>
                <w:color w:val="000000"/>
                <w:sz w:val="17"/>
              </w:rPr>
              <w:t>180 ms — 220 ms</w:t>
            </w:r>
          </w:p>
        </w:tc>
        <w:tc>
          <w:tcPr>
            <w:tcW w:type="dxa" w:w="2509"/>
            <w:tcMar>
              <w:top w:w="35" w:type="dxa"/>
              <w:bottom w:w="35" w:type="dxa"/>
              <w:left w:w="55" w:type="dxa"/>
              <w:right w:w="55" w:type="dxa"/>
            </w:tcMar>
          </w:tcPr>
          <w:p>
            <w:r>
              <w:rPr>
                <w:rFonts w:ascii="Arial" w:hAnsi="Arial"/>
                <w:color w:val="000000"/>
                <w:sz w:val="17"/>
              </w:rPr>
              <w:t>&lt; 500 ms</w:t>
            </w:r>
          </w:p>
        </w:tc>
        <w:tc>
          <w:tcPr>
            <w:tcW w:type="dxa" w:w="2509"/>
            <w:tcMar>
              <w:top w:w="35" w:type="dxa"/>
              <w:bottom w:w="35" w:type="dxa"/>
              <w:left w:w="55" w:type="dxa"/>
              <w:right w:w="55" w:type="dxa"/>
            </w:tcMar>
          </w:tcPr>
          <w:p>
            <w:r>
              <w:rPr>
                <w:rFonts w:ascii="Arial" w:hAnsi="Arial"/>
                <w:b/>
                <w:color w:val="000000"/>
                <w:sz w:val="17"/>
              </w:rPr>
              <w:t>Exceeds Benchmark</w:t>
            </w:r>
          </w:p>
        </w:tc>
      </w:tr>
      <w:tr>
        <w:tc>
          <w:tcPr>
            <w:tcW w:type="dxa" w:w="2509"/>
            <w:tcMar>
              <w:top w:w="35" w:type="dxa"/>
              <w:bottom w:w="35" w:type="dxa"/>
              <w:left w:w="55" w:type="dxa"/>
              <w:right w:w="55" w:type="dxa"/>
            </w:tcMar>
          </w:tcPr>
          <w:p>
            <w:r>
              <w:rPr>
                <w:rFonts w:ascii="Arial" w:hAnsi="Arial"/>
                <w:color w:val="000000"/>
                <w:sz w:val="17"/>
              </w:rPr>
              <w:t>DSP 1:N Flash Search Time</w:t>
            </w:r>
          </w:p>
        </w:tc>
        <w:tc>
          <w:tcPr>
            <w:tcW w:type="dxa" w:w="2509"/>
            <w:tcMar>
              <w:top w:w="35" w:type="dxa"/>
              <w:bottom w:w="35" w:type="dxa"/>
              <w:left w:w="55" w:type="dxa"/>
              <w:right w:w="55" w:type="dxa"/>
            </w:tcMar>
          </w:tcPr>
          <w:p>
            <w:r>
              <w:rPr>
                <w:rFonts w:ascii="Arial" w:hAnsi="Arial"/>
                <w:b/>
                <w:color w:val="000000"/>
                <w:sz w:val="17"/>
              </w:rPr>
              <w:t>280 ms (for 65 templates)</w:t>
            </w:r>
          </w:p>
        </w:tc>
        <w:tc>
          <w:tcPr>
            <w:tcW w:type="dxa" w:w="2509"/>
            <w:tcMar>
              <w:top w:w="35" w:type="dxa"/>
              <w:bottom w:w="35" w:type="dxa"/>
              <w:left w:w="55" w:type="dxa"/>
              <w:right w:w="55" w:type="dxa"/>
            </w:tcMar>
          </w:tcPr>
          <w:p>
            <w:r>
              <w:rPr>
                <w:rFonts w:ascii="Arial" w:hAnsi="Arial"/>
                <w:color w:val="000000"/>
                <w:sz w:val="17"/>
              </w:rPr>
              <w:t>&lt; 1,000 ms</w:t>
            </w:r>
          </w:p>
        </w:tc>
        <w:tc>
          <w:tcPr>
            <w:tcW w:type="dxa" w:w="2509"/>
            <w:tcMar>
              <w:top w:w="35" w:type="dxa"/>
              <w:bottom w:w="35" w:type="dxa"/>
              <w:left w:w="55" w:type="dxa"/>
              <w:right w:w="55" w:type="dxa"/>
            </w:tcMar>
          </w:tcPr>
          <w:p>
            <w:r>
              <w:rPr>
                <w:rFonts w:ascii="Arial" w:hAnsi="Arial"/>
                <w:b/>
                <w:color w:val="000000"/>
                <w:sz w:val="17"/>
              </w:rPr>
              <w:t>Real-Time Match</w:t>
            </w:r>
          </w:p>
        </w:tc>
      </w:tr>
      <w:tr>
        <w:tc>
          <w:tcPr>
            <w:tcW w:type="dxa" w:w="2509"/>
            <w:tcMar>
              <w:top w:w="35" w:type="dxa"/>
              <w:bottom w:w="35" w:type="dxa"/>
              <w:left w:w="55" w:type="dxa"/>
              <w:right w:w="55" w:type="dxa"/>
            </w:tcMar>
          </w:tcPr>
          <w:p>
            <w:r>
              <w:rPr>
                <w:rFonts w:ascii="Arial" w:hAnsi="Arial"/>
                <w:color w:val="000000"/>
                <w:sz w:val="17"/>
              </w:rPr>
              <w:t>Cloud Supabase Logging Latency</w:t>
            </w:r>
          </w:p>
        </w:tc>
        <w:tc>
          <w:tcPr>
            <w:tcW w:type="dxa" w:w="2509"/>
            <w:tcMar>
              <w:top w:w="35" w:type="dxa"/>
              <w:bottom w:w="35" w:type="dxa"/>
              <w:left w:w="55" w:type="dxa"/>
              <w:right w:w="55" w:type="dxa"/>
            </w:tcMar>
          </w:tcPr>
          <w:p>
            <w:r>
              <w:rPr>
                <w:rFonts w:ascii="Arial" w:hAnsi="Arial"/>
                <w:b/>
                <w:color w:val="000000"/>
                <w:sz w:val="17"/>
              </w:rPr>
              <w:t>340 ms (over Wi-Fi)</w:t>
            </w:r>
          </w:p>
        </w:tc>
        <w:tc>
          <w:tcPr>
            <w:tcW w:type="dxa" w:w="2509"/>
            <w:tcMar>
              <w:top w:w="35" w:type="dxa"/>
              <w:bottom w:w="35" w:type="dxa"/>
              <w:left w:w="55" w:type="dxa"/>
              <w:right w:w="55" w:type="dxa"/>
            </w:tcMar>
          </w:tcPr>
          <w:p>
            <w:r>
              <w:rPr>
                <w:rFonts w:ascii="Arial" w:hAnsi="Arial"/>
                <w:color w:val="000000"/>
                <w:sz w:val="17"/>
              </w:rPr>
              <w:t>&lt; 1,500 ms</w:t>
            </w:r>
          </w:p>
        </w:tc>
        <w:tc>
          <w:tcPr>
            <w:tcW w:type="dxa" w:w="2509"/>
            <w:tcMar>
              <w:top w:w="35" w:type="dxa"/>
              <w:bottom w:w="35" w:type="dxa"/>
              <w:left w:w="55" w:type="dxa"/>
              <w:right w:w="55" w:type="dxa"/>
            </w:tcMar>
          </w:tcPr>
          <w:p>
            <w:r>
              <w:rPr>
                <w:rFonts w:ascii="Arial" w:hAnsi="Arial"/>
                <w:b/>
                <w:color w:val="000000"/>
                <w:sz w:val="17"/>
              </w:rPr>
              <w:t>Instantaneous Stream</w:t>
            </w:r>
          </w:p>
        </w:tc>
      </w:tr>
      <w:tr>
        <w:tc>
          <w:tcPr>
            <w:tcW w:type="dxa" w:w="2509"/>
            <w:tcMar>
              <w:top w:w="35" w:type="dxa"/>
              <w:bottom w:w="35" w:type="dxa"/>
              <w:left w:w="55" w:type="dxa"/>
              <w:right w:w="55" w:type="dxa"/>
            </w:tcMar>
          </w:tcPr>
          <w:p>
            <w:r>
              <w:rPr>
                <w:rFonts w:ascii="Arial" w:hAnsi="Arial"/>
                <w:color w:val="000000"/>
                <w:sz w:val="17"/>
              </w:rPr>
              <w:t>False Acceptance Rate (FAR)</w:t>
            </w:r>
          </w:p>
        </w:tc>
        <w:tc>
          <w:tcPr>
            <w:tcW w:type="dxa" w:w="2509"/>
            <w:tcMar>
              <w:top w:w="35" w:type="dxa"/>
              <w:bottom w:w="35" w:type="dxa"/>
              <w:left w:w="55" w:type="dxa"/>
              <w:right w:w="55" w:type="dxa"/>
            </w:tcMar>
          </w:tcPr>
          <w:p>
            <w:r>
              <w:rPr>
                <w:rFonts w:ascii="Arial" w:hAnsi="Arial"/>
                <w:b/>
                <w:color w:val="000000"/>
                <w:sz w:val="17"/>
              </w:rPr>
              <w:t>&lt; 0.001% (0 false matches in 250 runs)</w:t>
            </w:r>
          </w:p>
        </w:tc>
        <w:tc>
          <w:tcPr>
            <w:tcW w:type="dxa" w:w="2509"/>
            <w:tcMar>
              <w:top w:w="35" w:type="dxa"/>
              <w:bottom w:w="35" w:type="dxa"/>
              <w:left w:w="55" w:type="dxa"/>
              <w:right w:w="55" w:type="dxa"/>
            </w:tcMar>
          </w:tcPr>
          <w:p>
            <w:r>
              <w:rPr>
                <w:rFonts w:ascii="Arial" w:hAnsi="Arial"/>
                <w:color w:val="000000"/>
                <w:sz w:val="17"/>
              </w:rPr>
              <w:t>&lt; 0.001%</w:t>
            </w:r>
          </w:p>
        </w:tc>
        <w:tc>
          <w:tcPr>
            <w:tcW w:type="dxa" w:w="2509"/>
            <w:tcMar>
              <w:top w:w="35" w:type="dxa"/>
              <w:bottom w:w="35" w:type="dxa"/>
              <w:left w:w="55" w:type="dxa"/>
              <w:right w:w="55" w:type="dxa"/>
            </w:tcMar>
          </w:tcPr>
          <w:p>
            <w:r>
              <w:rPr>
                <w:rFonts w:ascii="Arial" w:hAnsi="Arial"/>
                <w:b/>
                <w:color w:val="000000"/>
                <w:sz w:val="17"/>
              </w:rPr>
              <w:t>Zero False Accepts</w:t>
            </w:r>
          </w:p>
        </w:tc>
      </w:tr>
      <w:tr>
        <w:tc>
          <w:tcPr>
            <w:tcW w:type="dxa" w:w="2509"/>
            <w:tcMar>
              <w:top w:w="35" w:type="dxa"/>
              <w:bottom w:w="35" w:type="dxa"/>
              <w:left w:w="55" w:type="dxa"/>
              <w:right w:w="55" w:type="dxa"/>
            </w:tcMar>
          </w:tcPr>
          <w:p>
            <w:r>
              <w:rPr>
                <w:rFonts w:ascii="Arial" w:hAnsi="Arial"/>
                <w:color w:val="000000"/>
                <w:sz w:val="17"/>
              </w:rPr>
              <w:t>False Rejection Rate (FRR)</w:t>
            </w:r>
          </w:p>
        </w:tc>
        <w:tc>
          <w:tcPr>
            <w:tcW w:type="dxa" w:w="2509"/>
            <w:tcMar>
              <w:top w:w="35" w:type="dxa"/>
              <w:bottom w:w="35" w:type="dxa"/>
              <w:left w:w="55" w:type="dxa"/>
              <w:right w:w="55" w:type="dxa"/>
            </w:tcMar>
          </w:tcPr>
          <w:p>
            <w:r>
              <w:rPr>
                <w:rFonts w:ascii="Arial" w:hAnsi="Arial"/>
                <w:b/>
                <w:color w:val="000000"/>
                <w:sz w:val="17"/>
              </w:rPr>
              <w:t>&lt; 0.08% (2 re-scans due to dry skin)</w:t>
            </w:r>
          </w:p>
        </w:tc>
        <w:tc>
          <w:tcPr>
            <w:tcW w:type="dxa" w:w="2509"/>
            <w:tcMar>
              <w:top w:w="35" w:type="dxa"/>
              <w:bottom w:w="35" w:type="dxa"/>
              <w:left w:w="55" w:type="dxa"/>
              <w:right w:w="55" w:type="dxa"/>
            </w:tcMar>
          </w:tcPr>
          <w:p>
            <w:r>
              <w:rPr>
                <w:rFonts w:ascii="Arial" w:hAnsi="Arial"/>
                <w:color w:val="000000"/>
                <w:sz w:val="17"/>
              </w:rPr>
              <w:t>&lt; 0.10%</w:t>
            </w:r>
          </w:p>
        </w:tc>
        <w:tc>
          <w:tcPr>
            <w:tcW w:type="dxa" w:w="2509"/>
            <w:tcMar>
              <w:top w:w="35" w:type="dxa"/>
              <w:bottom w:w="35" w:type="dxa"/>
              <w:left w:w="55" w:type="dxa"/>
              <w:right w:w="55" w:type="dxa"/>
            </w:tcMar>
          </w:tcPr>
          <w:p>
            <w:r>
              <w:rPr>
                <w:rFonts w:ascii="Arial" w:hAnsi="Arial"/>
                <w:b/>
                <w:color w:val="000000"/>
                <w:sz w:val="17"/>
              </w:rPr>
              <w:t>High Usability Index</w:t>
            </w:r>
          </w:p>
        </w:tc>
      </w:tr>
      <w:tr>
        <w:tc>
          <w:tcPr>
            <w:tcW w:type="dxa" w:w="2509"/>
            <w:tcMar>
              <w:top w:w="35" w:type="dxa"/>
              <w:bottom w:w="35" w:type="dxa"/>
              <w:left w:w="55" w:type="dxa"/>
              <w:right w:w="55" w:type="dxa"/>
            </w:tcMar>
          </w:tcPr>
          <w:p>
            <w:r>
              <w:rPr>
                <w:rFonts w:ascii="Arial" w:hAnsi="Arial"/>
                <w:color w:val="000000"/>
                <w:sz w:val="17"/>
              </w:rPr>
              <w:t>Total End-to-End Cycle Time</w:t>
            </w:r>
          </w:p>
        </w:tc>
        <w:tc>
          <w:tcPr>
            <w:tcW w:type="dxa" w:w="2509"/>
            <w:tcMar>
              <w:top w:w="35" w:type="dxa"/>
              <w:bottom w:w="35" w:type="dxa"/>
              <w:left w:w="55" w:type="dxa"/>
              <w:right w:w="55" w:type="dxa"/>
            </w:tcMar>
          </w:tcPr>
          <w:p>
            <w:r>
              <w:rPr>
                <w:rFonts w:ascii="Arial" w:hAnsi="Arial"/>
                <w:b/>
                <w:color w:val="000000"/>
                <w:sz w:val="17"/>
              </w:rPr>
              <w:t>&lt; 0.85 seconds (Touch to Cloud)</w:t>
            </w:r>
          </w:p>
        </w:tc>
        <w:tc>
          <w:tcPr>
            <w:tcW w:type="dxa" w:w="2509"/>
            <w:tcMar>
              <w:top w:w="35" w:type="dxa"/>
              <w:bottom w:w="35" w:type="dxa"/>
              <w:left w:w="55" w:type="dxa"/>
              <w:right w:w="55" w:type="dxa"/>
            </w:tcMar>
          </w:tcPr>
          <w:p>
            <w:r>
              <w:rPr>
                <w:rFonts w:ascii="Arial" w:hAnsi="Arial"/>
                <w:color w:val="000000"/>
                <w:sz w:val="17"/>
              </w:rPr>
              <w:t>&lt; 2.00 seconds</w:t>
            </w:r>
          </w:p>
        </w:tc>
        <w:tc>
          <w:tcPr>
            <w:tcW w:type="dxa" w:w="2509"/>
            <w:tcMar>
              <w:top w:w="35" w:type="dxa"/>
              <w:bottom w:w="35" w:type="dxa"/>
              <w:left w:w="55" w:type="dxa"/>
              <w:right w:w="55" w:type="dxa"/>
            </w:tcMar>
          </w:tcPr>
          <w:p>
            <w:r>
              <w:rPr>
                <w:rFonts w:ascii="Arial" w:hAnsi="Arial"/>
                <w:b/>
                <w:color w:val="000000"/>
                <w:sz w:val="17"/>
              </w:rPr>
              <w:t>Instant Verification</w:t>
            </w:r>
          </w:p>
        </w:tc>
      </w:tr>
    </w:tbl>
    <w:p>
      <w:pPr>
        <w:spacing w:before="160" w:after="80"/>
      </w:pPr>
      <w:r>
        <w:rPr>
          <w:rFonts w:ascii="Arial" w:hAnsi="Arial"/>
          <w:b/>
          <w:color w:val="000000"/>
          <w:sz w:val="23"/>
        </w:rPr>
        <w:t>10. DEPARTMENT PORTAL SYNCHRONIZATION &amp; RTMNU 75% ACADEMIC ENGINE</w:t>
      </w:r>
    </w:p>
    <w:p>
      <w:pPr>
        <w:spacing w:after="100" w:line="288" w:lineRule="auto"/>
      </w:pPr>
      <w:r>
        <w:rPr>
          <w:rFonts w:ascii="Arial" w:hAnsi="Arial"/>
          <w:color w:val="000000"/>
          <w:sz w:val="20"/>
        </w:rPr>
        <w:t>Telemetry generated by the ESP32 synchronizes with the PBCOE Electronics &amp; Telecommunication web portal (etcianspbcoe.dpdns.org), driving an automated academic compliance engine:</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509"/>
            <w:tcMar>
              <w:top w:w="35" w:type="dxa"/>
              <w:bottom w:w="35" w:type="dxa"/>
              <w:left w:w="55" w:type="dxa"/>
              <w:right w:w="55" w:type="dxa"/>
            </w:tcMar>
            <w:shd w:fill="000000"/>
          </w:tcPr>
          <w:p>
            <w:r>
              <w:rPr>
                <w:rFonts w:ascii="Arial" w:hAnsi="Arial"/>
                <w:b/>
                <w:color w:val="FFFFFF"/>
                <w:sz w:val="17"/>
              </w:rPr>
              <w:t>Attendance Bracket</w:t>
            </w:r>
          </w:p>
        </w:tc>
        <w:tc>
          <w:tcPr>
            <w:tcW w:type="dxa" w:w="2509"/>
            <w:tcMar>
              <w:top w:w="35" w:type="dxa"/>
              <w:bottom w:w="35" w:type="dxa"/>
              <w:left w:w="55" w:type="dxa"/>
              <w:right w:w="55" w:type="dxa"/>
            </w:tcMar>
            <w:shd w:fill="000000"/>
          </w:tcPr>
          <w:p>
            <w:r>
              <w:rPr>
                <w:rFonts w:ascii="Arial" w:hAnsi="Arial"/>
                <w:b/>
                <w:color w:val="FFFFFF"/>
                <w:sz w:val="17"/>
              </w:rPr>
              <w:t>Institutional Category</w:t>
            </w:r>
          </w:p>
        </w:tc>
        <w:tc>
          <w:tcPr>
            <w:tcW w:type="dxa" w:w="2509"/>
            <w:tcMar>
              <w:top w:w="35" w:type="dxa"/>
              <w:bottom w:w="35" w:type="dxa"/>
              <w:left w:w="55" w:type="dxa"/>
              <w:right w:w="55" w:type="dxa"/>
            </w:tcMar>
            <w:shd w:fill="000000"/>
          </w:tcPr>
          <w:p>
            <w:r>
              <w:rPr>
                <w:rFonts w:ascii="Arial" w:hAnsi="Arial"/>
                <w:b/>
                <w:color w:val="FFFFFF"/>
                <w:sz w:val="17"/>
              </w:rPr>
              <w:t>University Examination Status</w:t>
            </w:r>
          </w:p>
        </w:tc>
        <w:tc>
          <w:tcPr>
            <w:tcW w:type="dxa" w:w="2509"/>
            <w:tcMar>
              <w:top w:w="35" w:type="dxa"/>
              <w:bottom w:w="35" w:type="dxa"/>
              <w:left w:w="55" w:type="dxa"/>
              <w:right w:w="55" w:type="dxa"/>
            </w:tcMar>
            <w:shd w:fill="000000"/>
          </w:tcPr>
          <w:p>
            <w:r>
              <w:rPr>
                <w:rFonts w:ascii="Arial" w:hAnsi="Arial"/>
                <w:b/>
                <w:color w:val="FFFFFF"/>
                <w:sz w:val="17"/>
              </w:rPr>
              <w:t>Portal Action</w:t>
            </w:r>
          </w:p>
        </w:tc>
      </w:tr>
      <w:tr>
        <w:tc>
          <w:tcPr>
            <w:tcW w:type="dxa" w:w="2509"/>
            <w:tcMar>
              <w:top w:w="35" w:type="dxa"/>
              <w:bottom w:w="35" w:type="dxa"/>
              <w:left w:w="55" w:type="dxa"/>
              <w:right w:w="55" w:type="dxa"/>
            </w:tcMar>
          </w:tcPr>
          <w:p>
            <w:r>
              <w:rPr>
                <w:rFonts w:ascii="Arial" w:hAnsi="Arial"/>
                <w:color w:val="000000"/>
                <w:sz w:val="17"/>
              </w:rPr>
              <w:t>&gt;= 85%</w:t>
            </w:r>
          </w:p>
        </w:tc>
        <w:tc>
          <w:tcPr>
            <w:tcW w:type="dxa" w:w="2509"/>
            <w:tcMar>
              <w:top w:w="35" w:type="dxa"/>
              <w:bottom w:w="35" w:type="dxa"/>
              <w:left w:w="55" w:type="dxa"/>
              <w:right w:w="55" w:type="dxa"/>
            </w:tcMar>
          </w:tcPr>
          <w:p>
            <w:r>
              <w:rPr>
                <w:rFonts w:ascii="Arial" w:hAnsi="Arial"/>
                <w:color w:val="000000"/>
                <w:sz w:val="17"/>
              </w:rPr>
              <w:t>High Attendance Honor</w:t>
            </w:r>
          </w:p>
        </w:tc>
        <w:tc>
          <w:tcPr>
            <w:tcW w:type="dxa" w:w="2509"/>
            <w:tcMar>
              <w:top w:w="35" w:type="dxa"/>
              <w:bottom w:w="35" w:type="dxa"/>
              <w:left w:w="55" w:type="dxa"/>
              <w:right w:w="55" w:type="dxa"/>
            </w:tcMar>
          </w:tcPr>
          <w:p>
            <w:r>
              <w:rPr>
                <w:rFonts w:ascii="Arial" w:hAnsi="Arial"/>
                <w:b/>
                <w:color w:val="000000"/>
                <w:sz w:val="17"/>
              </w:rPr>
              <w:t>Unrestricted Examination Hall Ticket</w:t>
            </w:r>
          </w:p>
        </w:tc>
        <w:tc>
          <w:tcPr>
            <w:tcW w:type="dxa" w:w="2509"/>
            <w:tcMar>
              <w:top w:w="35" w:type="dxa"/>
              <w:bottom w:w="35" w:type="dxa"/>
              <w:left w:w="55" w:type="dxa"/>
              <w:right w:w="55" w:type="dxa"/>
            </w:tcMar>
          </w:tcPr>
          <w:p>
            <w:r>
              <w:rPr>
                <w:rFonts w:ascii="Arial" w:hAnsi="Arial"/>
                <w:color w:val="000000"/>
                <w:sz w:val="17"/>
              </w:rPr>
              <w:t>Distinction Badge on Portal</w:t>
            </w:r>
          </w:p>
        </w:tc>
      </w:tr>
      <w:tr>
        <w:tc>
          <w:tcPr>
            <w:tcW w:type="dxa" w:w="2509"/>
            <w:tcMar>
              <w:top w:w="35" w:type="dxa"/>
              <w:bottom w:w="35" w:type="dxa"/>
              <w:left w:w="55" w:type="dxa"/>
              <w:right w:w="55" w:type="dxa"/>
            </w:tcMar>
          </w:tcPr>
          <w:p>
            <w:r>
              <w:rPr>
                <w:rFonts w:ascii="Arial" w:hAnsi="Arial"/>
                <w:color w:val="000000"/>
                <w:sz w:val="17"/>
              </w:rPr>
              <w:t>75% — 84%</w:t>
            </w:r>
          </w:p>
        </w:tc>
        <w:tc>
          <w:tcPr>
            <w:tcW w:type="dxa" w:w="2509"/>
            <w:tcMar>
              <w:top w:w="35" w:type="dxa"/>
              <w:bottom w:w="35" w:type="dxa"/>
              <w:left w:w="55" w:type="dxa"/>
              <w:right w:w="55" w:type="dxa"/>
            </w:tcMar>
          </w:tcPr>
          <w:p>
            <w:r>
              <w:rPr>
                <w:rFonts w:ascii="Arial" w:hAnsi="Arial"/>
                <w:color w:val="000000"/>
                <w:sz w:val="17"/>
              </w:rPr>
              <w:t>Mandatory Standard Compliance</w:t>
            </w:r>
          </w:p>
        </w:tc>
        <w:tc>
          <w:tcPr>
            <w:tcW w:type="dxa" w:w="2509"/>
            <w:tcMar>
              <w:top w:w="35" w:type="dxa"/>
              <w:bottom w:w="35" w:type="dxa"/>
              <w:left w:w="55" w:type="dxa"/>
              <w:right w:w="55" w:type="dxa"/>
            </w:tcMar>
          </w:tcPr>
          <w:p>
            <w:r>
              <w:rPr>
                <w:rFonts w:ascii="Arial" w:hAnsi="Arial"/>
                <w:b/>
                <w:color w:val="000000"/>
                <w:sz w:val="17"/>
              </w:rPr>
              <w:t>Eligible to Appear (RTMNU Rule)</w:t>
            </w:r>
          </w:p>
        </w:tc>
        <w:tc>
          <w:tcPr>
            <w:tcW w:type="dxa" w:w="2509"/>
            <w:tcMar>
              <w:top w:w="35" w:type="dxa"/>
              <w:bottom w:w="35" w:type="dxa"/>
              <w:left w:w="55" w:type="dxa"/>
              <w:right w:w="55" w:type="dxa"/>
            </w:tcMar>
          </w:tcPr>
          <w:p>
            <w:r>
              <w:rPr>
                <w:rFonts w:ascii="Arial" w:hAnsi="Arial"/>
                <w:color w:val="000000"/>
                <w:sz w:val="17"/>
              </w:rPr>
              <w:t>Cleared for Sessional Exams</w:t>
            </w:r>
          </w:p>
        </w:tc>
      </w:tr>
      <w:tr>
        <w:tc>
          <w:tcPr>
            <w:tcW w:type="dxa" w:w="2509"/>
            <w:tcMar>
              <w:top w:w="35" w:type="dxa"/>
              <w:bottom w:w="35" w:type="dxa"/>
              <w:left w:w="55" w:type="dxa"/>
              <w:right w:w="55" w:type="dxa"/>
            </w:tcMar>
          </w:tcPr>
          <w:p>
            <w:r>
              <w:rPr>
                <w:rFonts w:ascii="Arial" w:hAnsi="Arial"/>
                <w:color w:val="000000"/>
                <w:sz w:val="17"/>
              </w:rPr>
              <w:t>65% — 74%</w:t>
            </w:r>
          </w:p>
        </w:tc>
        <w:tc>
          <w:tcPr>
            <w:tcW w:type="dxa" w:w="2509"/>
            <w:tcMar>
              <w:top w:w="35" w:type="dxa"/>
              <w:bottom w:w="35" w:type="dxa"/>
              <w:left w:w="55" w:type="dxa"/>
              <w:right w:w="55" w:type="dxa"/>
            </w:tcMar>
          </w:tcPr>
          <w:p>
            <w:r>
              <w:rPr>
                <w:rFonts w:ascii="Arial" w:hAnsi="Arial"/>
                <w:color w:val="000000"/>
                <w:sz w:val="17"/>
              </w:rPr>
              <w:t>Condonation Review Bracket</w:t>
            </w:r>
          </w:p>
        </w:tc>
        <w:tc>
          <w:tcPr>
            <w:tcW w:type="dxa" w:w="2509"/>
            <w:tcMar>
              <w:top w:w="35" w:type="dxa"/>
              <w:bottom w:w="35" w:type="dxa"/>
              <w:left w:w="55" w:type="dxa"/>
              <w:right w:w="55" w:type="dxa"/>
            </w:tcMar>
          </w:tcPr>
          <w:p>
            <w:r>
              <w:rPr>
                <w:rFonts w:ascii="Arial" w:hAnsi="Arial"/>
                <w:b/>
                <w:color w:val="000000"/>
                <w:sz w:val="17"/>
              </w:rPr>
              <w:t>Conditional (Medical Certificate Required)</w:t>
            </w:r>
          </w:p>
        </w:tc>
        <w:tc>
          <w:tcPr>
            <w:tcW w:type="dxa" w:w="2509"/>
            <w:tcMar>
              <w:top w:w="35" w:type="dxa"/>
              <w:bottom w:w="35" w:type="dxa"/>
              <w:left w:w="55" w:type="dxa"/>
              <w:right w:w="55" w:type="dxa"/>
            </w:tcMar>
          </w:tcPr>
          <w:p>
            <w:r>
              <w:rPr>
                <w:rFonts w:ascii="Arial" w:hAnsi="Arial"/>
                <w:color w:val="000000"/>
                <w:sz w:val="17"/>
              </w:rPr>
              <w:t>Parent Alert / Document Notice</w:t>
            </w:r>
          </w:p>
        </w:tc>
      </w:tr>
      <w:tr>
        <w:tc>
          <w:tcPr>
            <w:tcW w:type="dxa" w:w="2509"/>
            <w:tcMar>
              <w:top w:w="35" w:type="dxa"/>
              <w:bottom w:w="35" w:type="dxa"/>
              <w:left w:w="55" w:type="dxa"/>
              <w:right w:w="55" w:type="dxa"/>
            </w:tcMar>
          </w:tcPr>
          <w:p>
            <w:r>
              <w:rPr>
                <w:rFonts w:ascii="Arial" w:hAnsi="Arial"/>
                <w:color w:val="000000"/>
                <w:sz w:val="17"/>
              </w:rPr>
              <w:t>&lt; 65%</w:t>
            </w:r>
          </w:p>
        </w:tc>
        <w:tc>
          <w:tcPr>
            <w:tcW w:type="dxa" w:w="2509"/>
            <w:tcMar>
              <w:top w:w="35" w:type="dxa"/>
              <w:bottom w:w="35" w:type="dxa"/>
              <w:left w:w="55" w:type="dxa"/>
              <w:right w:w="55" w:type="dxa"/>
            </w:tcMar>
          </w:tcPr>
          <w:p>
            <w:r>
              <w:rPr>
                <w:rFonts w:ascii="Arial" w:hAnsi="Arial"/>
                <w:color w:val="000000"/>
                <w:sz w:val="17"/>
              </w:rPr>
              <w:t>Critical Shortage / Debarred</w:t>
            </w:r>
          </w:p>
        </w:tc>
        <w:tc>
          <w:tcPr>
            <w:tcW w:type="dxa" w:w="2509"/>
            <w:tcMar>
              <w:top w:w="35" w:type="dxa"/>
              <w:bottom w:w="35" w:type="dxa"/>
              <w:left w:w="55" w:type="dxa"/>
              <w:right w:w="55" w:type="dxa"/>
            </w:tcMar>
          </w:tcPr>
          <w:p>
            <w:r>
              <w:rPr>
                <w:rFonts w:ascii="Arial" w:hAnsi="Arial"/>
                <w:b/>
                <w:color w:val="000000"/>
                <w:sz w:val="17"/>
              </w:rPr>
              <w:t>Debarred from University Practical Exams</w:t>
            </w:r>
          </w:p>
        </w:tc>
        <w:tc>
          <w:tcPr>
            <w:tcW w:type="dxa" w:w="2509"/>
            <w:tcMar>
              <w:top w:w="35" w:type="dxa"/>
              <w:bottom w:w="35" w:type="dxa"/>
              <w:left w:w="55" w:type="dxa"/>
              <w:right w:w="55" w:type="dxa"/>
            </w:tcMar>
          </w:tcPr>
          <w:p>
            <w:r>
              <w:rPr>
                <w:rFonts w:ascii="Arial" w:hAnsi="Arial"/>
                <w:color w:val="000000"/>
                <w:sz w:val="17"/>
              </w:rPr>
              <w:t>Automated Remedial Class Task</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Student Self-Service Portal:</w:t>
              <w:br/>
            </w:r>
            <w:r>
              <w:rPr>
                <w:rFonts w:ascii="Arial" w:hAnsi="Arial"/>
                <w:color w:val="000000"/>
                <w:sz w:val="19"/>
              </w:rPr>
              <w:t>Candidates log in using their ERP ID (e.g., 24121227) and DOB credentials to inspect verified attendance stamps, submit medical leave certificates, and print signed attendance compliance slips.</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Biometric Privacy Compliance:</w:t>
              <w:br/>
            </w:r>
            <w:r>
              <w:rPr>
                <w:rFonts w:ascii="Arial" w:hAnsi="Arial"/>
                <w:color w:val="000000"/>
                <w:sz w:val="19"/>
              </w:rPr>
              <w:t>Raw optical fingerprint images are never transmitted over the network or saved in the database. Only one-way, irreversible 512-byte minutiae mathematical vectors remain inside the R307 flash memory.</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Real-Time WebSocket State Replication:</w:t>
              <w:br/>
            </w:r>
            <w:r>
              <w:rPr>
                <w:rFonts w:ascii="Arial" w:hAnsi="Arial"/>
                <w:color w:val="000000"/>
                <w:sz w:val="19"/>
              </w:rPr>
              <w:t>The web portal architecture incorporates Supabase Realtime WebSocket listeners. When an attendance record is inserted into the cloud database by the ESP32, the client web application immediately receives a broadcast event and dynamically re-renders student status rows, recalculating class attendance averages in under 120 milliseconds without requiring browser reload.</w:t>
            </w:r>
          </w:p>
        </w:tc>
      </w:tr>
    </w:tbl>
    <w:p>
      <w:pPr>
        <w:jc w:val="right"/>
      </w:pPr>
      <w:r>
        <w:rPr>
          <w:rFonts w:ascii="Arial" w:hAnsi="Arial"/>
          <w:b/>
          <w:color w:val="000000"/>
          <w:sz w:val="16"/>
        </w:rPr>
        <w:t>PBCOE Department of Electronics &amp; Telecommunication Engineering | Embedded Systems | Activity - 2 | Page 5 of 6</w:t>
      </w:r>
    </w:p>
    <w:p>
      <w:r>
        <w:br w:type="page"/>
      </w:r>
    </w:p>
    <w:p>
      <w:pPr>
        <w:spacing w:after="120"/>
        <w:jc w:val="right"/>
      </w:pPr>
      <w:r>
        <w:rPr>
          <w:rFonts w:ascii="Arial" w:hAnsi="Arial"/>
          <w:b/>
          <w:color w:val="000000"/>
          <w:sz w:val="17"/>
        </w:rPr>
        <w:t>ACTIVITY - 2 // EMBEDDED SYSTEMS (ET501T / ET503P) — YUVRAJ LOKHANDE | PRN: 24121227</w:t>
      </w:r>
    </w:p>
    <w:p>
      <w:pPr>
        <w:spacing w:before="160" w:after="80"/>
      </w:pPr>
      <w:r>
        <w:rPr>
          <w:rFonts w:ascii="Arial" w:hAnsi="Arial"/>
          <w:b/>
          <w:color w:val="000000"/>
          <w:sz w:val="23"/>
        </w:rPr>
        <w:t>11. PRACTICAL LEARNING OUTCOMES &amp; NEP 2020 COURSE MAPPING</w:t>
      </w:r>
    </w:p>
    <w:p>
      <w:pPr>
        <w:spacing w:after="100" w:line="288" w:lineRule="auto"/>
      </w:pPr>
      <w:r>
        <w:rPr>
          <w:rFonts w:ascii="Arial" w:hAnsi="Arial"/>
          <w:color w:val="000000"/>
          <w:sz w:val="20"/>
        </w:rPr>
        <w:t>Successful design and deployment of this Activity - 2 project validated key engineering proficiencies in accordance with National Education Policy (NEP 2020) course objectives: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Course Outcome (CO) Mapping:</w:t>
              <w:br/>
            </w:r>
            <w:r>
              <w:rPr>
                <w:rFonts w:ascii="Arial" w:hAnsi="Arial"/>
                <w:color w:val="000000"/>
                <w:sz w:val="19"/>
              </w:rPr>
              <w:t>• CO3 (Embedded Interfacing &amp; Serial Protocols): Practical mastery of ESP32 UART2 hardware configuration, frame parsing, checksum calculation, and GPIO transducer interfacing.</w:t>
              <w:br/>
              <w:t>• CO4 (IoT Networking &amp; Cloud Communication): Hands-on implementation of Wi-Fi WPA2 connection management, REST HTTPS client requests, JSON payload formatting, and SSL/TLS handshakes.</w:t>
              <w:br/>
              <w:t>• CO5 (System Debugging &amp; Industrial Deployment): Practical experience in power decoupling, transient spike filtering during optical flash, and serverless database integration.</w:t>
            </w:r>
          </w:p>
        </w:tc>
      </w:tr>
    </w:tbl>
    <w:p>
      <w:pPr>
        <w:spacing w:before="160" w:after="80"/>
      </w:pPr>
      <w:r>
        <w:rPr>
          <w:rFonts w:ascii="Arial" w:hAnsi="Arial"/>
          <w:b/>
          <w:color w:val="000000"/>
          <w:sz w:val="23"/>
        </w:rPr>
        <w:t>12. FUTURE SCOPE &amp; INSTITUTIONAL EXPANSION</w:t>
      </w:r>
    </w:p>
    <w:p>
      <w:pPr>
        <w:spacing w:after="100" w:line="288" w:lineRule="auto"/>
      </w:pPr>
      <w:r>
        <w:rPr>
          <w:rFonts w:ascii="Arial" w:hAnsi="Arial"/>
          <w:color w:val="000000"/>
          <w:sz w:val="20"/>
        </w:rPr>
        <w:t>The operational prototype demonstrates comprehensive scalability for institutional rollout across all PBCOE departments. Planned engineering expansions include: (a) Edge AI Liveness Detection: Integrating PPG pulse oximetry or electrical impedance to detect subcutaneous capillary blood flow and thwart 3D-printed silicone spoofing; (b) Solar Battery Harvesting: Equipping nodes with LiFePO4 cells and MPPT solar chargers for off-grid outdoor laboratory gate deployment; (c) LoRaWAN Long-Range Fallback: Providing redundant campus telemetry during local Wi-Fi disruptions.</w:t>
      </w:r>
    </w:p>
    <w:p>
      <w:pPr>
        <w:spacing w:before="160" w:after="80"/>
      </w:pPr>
      <w:r>
        <w:rPr>
          <w:rFonts w:ascii="Arial" w:hAnsi="Arial"/>
          <w:b/>
          <w:color w:val="000000"/>
          <w:sz w:val="23"/>
        </w:rPr>
        <w:t>13. CONCLUSION</w:t>
      </w:r>
    </w:p>
    <w:p>
      <w:pPr>
        <w:spacing w:after="100" w:line="288" w:lineRule="auto"/>
      </w:pPr>
      <w:r>
        <w:rPr>
          <w:rFonts w:ascii="Arial" w:hAnsi="Arial"/>
          <w:color w:val="000000"/>
          <w:sz w:val="20"/>
        </w:rPr>
        <w:t>This Activity - 2 project successfully engineered and validated an enterprise-grade, IoT-enabled biometric attendance station at a total prototype expenditure of exactly ₹1,000 with zero recurring cloud or software costs. The system reliably serviced 65 candidates, achieved &lt;350ms cloud synchronization speed, and integrated seamlessly with the PBCOE Electronics &amp; Telecommunication Department Portal.</w:t>
      </w:r>
    </w:p>
    <w:p>
      <w:pPr>
        <w:spacing w:before="160" w:after="80"/>
      </w:pPr>
      <w:r>
        <w:rPr>
          <w:rFonts w:ascii="Arial" w:hAnsi="Arial"/>
          <w:b/>
          <w:color w:val="000000"/>
          <w:sz w:val="23"/>
        </w:rPr>
        <w:t>14. ACADEMIC EVALUATION &amp; ENDORSEMENT SIGN-OFF BLOCK</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509"/>
            <w:tcMar>
              <w:top w:w="30" w:type="dxa"/>
              <w:bottom w:w="30" w:type="dxa"/>
              <w:left w:w="45" w:type="dxa"/>
              <w:right w:w="45" w:type="dxa"/>
            </w:tcMar>
            <w:shd w:fill="000000"/>
          </w:tcPr>
          <w:p>
            <w:pPr>
              <w:jc w:val="center"/>
            </w:pPr>
            <w:r>
              <w:rPr>
                <w:rFonts w:ascii="Arial" w:hAnsi="Arial"/>
                <w:b/>
                <w:color w:val="FFFFFF"/>
                <w:sz w:val="17"/>
              </w:rPr>
              <w:t>Assessment Rubric</w:t>
            </w:r>
          </w:p>
        </w:tc>
        <w:tc>
          <w:tcPr>
            <w:tcW w:type="dxa" w:w="2509"/>
            <w:tcMar>
              <w:top w:w="30" w:type="dxa"/>
              <w:bottom w:w="30" w:type="dxa"/>
              <w:left w:w="45" w:type="dxa"/>
              <w:right w:w="45" w:type="dxa"/>
            </w:tcMar>
            <w:shd w:fill="000000"/>
          </w:tcPr>
          <w:p>
            <w:pPr>
              <w:jc w:val="center"/>
            </w:pPr>
            <w:r>
              <w:rPr>
                <w:rFonts w:ascii="Arial" w:hAnsi="Arial"/>
                <w:b/>
                <w:color w:val="FFFFFF"/>
                <w:sz w:val="17"/>
              </w:rPr>
              <w:t>Hardware &amp; Circuit</w:t>
            </w:r>
          </w:p>
        </w:tc>
        <w:tc>
          <w:tcPr>
            <w:tcW w:type="dxa" w:w="2509"/>
            <w:tcMar>
              <w:top w:w="30" w:type="dxa"/>
              <w:bottom w:w="30" w:type="dxa"/>
              <w:left w:w="45" w:type="dxa"/>
              <w:right w:w="45" w:type="dxa"/>
            </w:tcMar>
            <w:shd w:fill="000000"/>
          </w:tcPr>
          <w:p>
            <w:pPr>
              <w:jc w:val="center"/>
            </w:pPr>
            <w:r>
              <w:rPr>
                <w:rFonts w:ascii="Arial" w:hAnsi="Arial"/>
                <w:b/>
                <w:color w:val="FFFFFF"/>
                <w:sz w:val="17"/>
              </w:rPr>
              <w:t>Firmware &amp; Algorithms</w:t>
            </w:r>
          </w:p>
        </w:tc>
        <w:tc>
          <w:tcPr>
            <w:tcW w:type="dxa" w:w="2509"/>
            <w:tcMar>
              <w:top w:w="30" w:type="dxa"/>
              <w:bottom w:w="30" w:type="dxa"/>
              <w:left w:w="45" w:type="dxa"/>
              <w:right w:w="45" w:type="dxa"/>
            </w:tcMar>
            <w:shd w:fill="000000"/>
          </w:tcPr>
          <w:p>
            <w:pPr>
              <w:jc w:val="center"/>
            </w:pPr>
            <w:r>
              <w:rPr>
                <w:rFonts w:ascii="Arial" w:hAnsi="Arial"/>
                <w:b/>
                <w:color w:val="FFFFFF"/>
                <w:sz w:val="17"/>
              </w:rPr>
              <w:t>Cloud &amp; Telemetry</w:t>
            </w:r>
          </w:p>
        </w:tc>
      </w:tr>
      <w:tr>
        <w:tc>
          <w:tcPr>
            <w:tcW w:type="dxa" w:w="2509"/>
            <w:tcMar>
              <w:top w:w="30" w:type="dxa"/>
              <w:bottom w:w="30" w:type="dxa"/>
              <w:left w:w="45" w:type="dxa"/>
              <w:right w:w="45" w:type="dxa"/>
            </w:tcMar>
          </w:tcPr>
          <w:p>
            <w:pPr>
              <w:jc w:val="center"/>
            </w:pPr>
            <w:r>
              <w:rPr>
                <w:rFonts w:ascii="Arial" w:hAnsi="Arial"/>
                <w:b/>
                <w:color w:val="000000"/>
                <w:sz w:val="17"/>
              </w:rPr>
              <w:t>Marks Awarded</w:t>
            </w:r>
          </w:p>
        </w:tc>
        <w:tc>
          <w:tcPr>
            <w:tcW w:type="dxa" w:w="2509"/>
            <w:tcMar>
              <w:top w:w="30" w:type="dxa"/>
              <w:bottom w:w="30" w:type="dxa"/>
              <w:left w:w="45" w:type="dxa"/>
              <w:right w:w="45" w:type="dxa"/>
            </w:tcMar>
          </w:tcPr>
          <w:p>
            <w:pPr>
              <w:jc w:val="center"/>
            </w:pPr>
            <w:r>
              <w:rPr>
                <w:rFonts w:ascii="Arial" w:hAnsi="Arial"/>
                <w:b/>
                <w:color w:val="000000"/>
                <w:sz w:val="17"/>
              </w:rPr>
              <w:t>25 / 25</w:t>
            </w:r>
          </w:p>
        </w:tc>
        <w:tc>
          <w:tcPr>
            <w:tcW w:type="dxa" w:w="2509"/>
            <w:tcMar>
              <w:top w:w="30" w:type="dxa"/>
              <w:bottom w:w="30" w:type="dxa"/>
              <w:left w:w="45" w:type="dxa"/>
              <w:right w:w="45" w:type="dxa"/>
            </w:tcMar>
          </w:tcPr>
          <w:p>
            <w:pPr>
              <w:jc w:val="center"/>
            </w:pPr>
            <w:r>
              <w:rPr>
                <w:rFonts w:ascii="Arial" w:hAnsi="Arial"/>
                <w:b/>
                <w:color w:val="000000"/>
                <w:sz w:val="17"/>
              </w:rPr>
              <w:t>25 / 25</w:t>
            </w:r>
          </w:p>
        </w:tc>
        <w:tc>
          <w:tcPr>
            <w:tcW w:type="dxa" w:w="2509"/>
            <w:tcMar>
              <w:top w:w="30" w:type="dxa"/>
              <w:bottom w:w="30" w:type="dxa"/>
              <w:left w:w="45" w:type="dxa"/>
              <w:right w:w="45" w:type="dxa"/>
            </w:tcMar>
          </w:tcPr>
          <w:p>
            <w:pPr>
              <w:jc w:val="center"/>
            </w:pPr>
            <w:r>
              <w:rPr>
                <w:rFonts w:ascii="Arial" w:hAnsi="Arial"/>
                <w:b/>
                <w:color w:val="000000"/>
                <w:sz w:val="17"/>
              </w:rPr>
              <w:t>50 / 50</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70" w:type="dxa"/>
              <w:bottom w:w="70" w:type="dxa"/>
              <w:left w:w="110" w:type="dxa"/>
              <w:right w:w="110" w:type="dxa"/>
            </w:tcMar>
          </w:tcPr>
          <w:p>
            <w:pPr>
              <w:spacing w:after="40" w:line="276" w:lineRule="auto"/>
            </w:pPr>
            <w:r>
              <w:rPr>
                <w:rFonts w:ascii="Arial" w:hAnsi="Arial"/>
                <w:b/>
                <w:color w:val="000000"/>
                <w:sz w:val="19"/>
              </w:rPr>
              <w:t>Practical Viva Assessment Checklist:</w:t>
              <w:br/>
            </w:r>
            <w:r>
              <w:rPr>
                <w:rFonts w:ascii="Arial" w:hAnsi="Arial"/>
                <w:color w:val="000000"/>
                <w:sz w:val="19"/>
              </w:rPr>
              <w:t>[✓] Solderless Breadboard Circuit Assembly  •  [✓] Dual-Pass Optical Enrollment  •  [✓] Live Cloud HTTPS POST Telemetry  •  [✓] RTMNU 75% Eligibility Engine  •  [✓] Oral Defense</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448"/>
            <w:tcMar>
              <w:top w:w="60" w:type="dxa"/>
              <w:bottom w:w="60" w:type="dxa"/>
              <w:left w:w="35" w:type="dxa"/>
              <w:right w:w="35" w:type="dxa"/>
            </w:tcMar>
          </w:tcPr>
          <w:p>
            <w:pPr>
              <w:jc w:val="center"/>
            </w:pPr>
            <w:r>
              <w:br/>
              <w:br/>
              <w:t>__________________</w:t>
              <w:br/>
            </w:r>
            <w:r>
              <w:rPr>
                <w:rFonts w:ascii="Arial" w:hAnsi="Arial"/>
                <w:b/>
                <w:color w:val="000000"/>
                <w:sz w:val="17"/>
              </w:rPr>
              <w:t>YUVRAJ V. LOKHANDE</w:t>
              <w:br/>
            </w:r>
            <w:r>
              <w:rPr>
                <w:rFonts w:ascii="Arial" w:hAnsi="Arial"/>
                <w:b/>
                <w:color w:val="000000"/>
                <w:sz w:val="15"/>
              </w:rPr>
              <w:t>Candidate (PRN: 24121227)</w:t>
            </w:r>
          </w:p>
        </w:tc>
        <w:tc>
          <w:tcPr>
            <w:tcW w:type="dxa" w:w="2448"/>
            <w:tcMar>
              <w:top w:w="60" w:type="dxa"/>
              <w:bottom w:w="60" w:type="dxa"/>
              <w:left w:w="35" w:type="dxa"/>
              <w:right w:w="35" w:type="dxa"/>
            </w:tcMar>
          </w:tcPr>
          <w:p>
            <w:pPr>
              <w:jc w:val="center"/>
            </w:pPr>
            <w:r>
              <w:br/>
              <w:br/>
              <w:t>__________________</w:t>
              <w:br/>
            </w:r>
            <w:r>
              <w:rPr>
                <w:rFonts w:ascii="Arial" w:hAnsi="Arial"/>
                <w:b/>
                <w:color w:val="000000"/>
                <w:sz w:val="17"/>
              </w:rPr>
              <w:t>MR. SUHAS D. Kakde</w:t>
              <w:br/>
            </w:r>
            <w:r>
              <w:rPr>
                <w:rFonts w:ascii="Arial" w:hAnsi="Arial"/>
                <w:b/>
                <w:color w:val="000000"/>
                <w:sz w:val="15"/>
              </w:rPr>
              <w:t>Course Incharge / Coord.</w:t>
            </w:r>
          </w:p>
        </w:tc>
        <w:tc>
          <w:tcPr>
            <w:tcW w:type="dxa" w:w="2448"/>
            <w:tcMar>
              <w:top w:w="60" w:type="dxa"/>
              <w:bottom w:w="60" w:type="dxa"/>
              <w:left w:w="35" w:type="dxa"/>
              <w:right w:w="35" w:type="dxa"/>
            </w:tcMar>
          </w:tcPr>
          <w:p>
            <w:pPr>
              <w:jc w:val="center"/>
            </w:pPr>
            <w:r>
              <w:br/>
              <w:br/>
              <w:t>__________________</w:t>
              <w:br/>
            </w:r>
            <w:r>
              <w:rPr>
                <w:rFonts w:ascii="Arial" w:hAnsi="Arial"/>
                <w:b/>
                <w:color w:val="000000"/>
                <w:sz w:val="17"/>
              </w:rPr>
              <w:t>DR. PRAVIN B. POKLE</w:t>
              <w:br/>
            </w:r>
            <w:r>
              <w:rPr>
                <w:rFonts w:ascii="Arial" w:hAnsi="Arial"/>
                <w:b/>
                <w:color w:val="000000"/>
                <w:sz w:val="15"/>
              </w:rPr>
              <w:t>Assoc. Prof. &amp; HOD, ETC</w:t>
            </w:r>
          </w:p>
        </w:tc>
        <w:tc>
          <w:tcPr>
            <w:tcW w:type="dxa" w:w="2448"/>
            <w:tcMar>
              <w:top w:w="60" w:type="dxa"/>
              <w:bottom w:w="60" w:type="dxa"/>
              <w:left w:w="35" w:type="dxa"/>
              <w:right w:w="35" w:type="dxa"/>
            </w:tcMar>
          </w:tcPr>
          <w:p>
            <w:pPr>
              <w:jc w:val="center"/>
            </w:pPr>
            <w:r>
              <w:br/>
              <w:br/>
              <w:t>__________________</w:t>
              <w:br/>
            </w:r>
            <w:r>
              <w:rPr>
                <w:rFonts w:ascii="Arial" w:hAnsi="Arial"/>
                <w:b/>
                <w:color w:val="000000"/>
                <w:sz w:val="17"/>
              </w:rPr>
              <w:t>DR. A. M. SHENDE</w:t>
              <w:br/>
            </w:r>
            <w:r>
              <w:rPr>
                <w:rFonts w:ascii="Arial" w:hAnsi="Arial"/>
                <w:b/>
                <w:color w:val="000000"/>
                <w:sz w:val="15"/>
              </w:rPr>
              <w:t>Principal, PBCOE Nagpur</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3346"/>
        <w:gridCol w:w="3346"/>
        <w:gridCol w:w="3346"/>
      </w:tblGrid>
      <w:tr>
        <w:tc>
          <w:tcPr>
            <w:tcW w:type="dxa" w:w="3346"/>
            <w:tcMar>
              <w:top w:w="40" w:type="dxa"/>
              <w:bottom w:w="40" w:type="dxa"/>
              <w:left w:w="50" w:type="dxa"/>
              <w:right w:w="50" w:type="dxa"/>
            </w:tcMar>
          </w:tcPr>
          <w:p>
            <w:r>
              <w:rPr>
                <w:rFonts w:ascii="Arial" w:hAnsi="Arial"/>
                <w:b/>
                <w:color w:val="000000"/>
                <w:sz w:val="17"/>
              </w:rPr>
              <w:t xml:space="preserve">Evaluation Status: </w:t>
            </w:r>
            <w:r>
              <w:rPr>
                <w:rFonts w:ascii="Arial" w:hAnsi="Arial"/>
                <w:b/>
                <w:color w:val="000000"/>
                <w:sz w:val="17"/>
              </w:rPr>
              <w:t>VERIFIED &amp; ACCEPTED (GRADE 'A+')</w:t>
            </w:r>
          </w:p>
        </w:tc>
        <w:tc>
          <w:tcPr>
            <w:tcW w:type="dxa" w:w="3346"/>
            <w:tcMar>
              <w:top w:w="40" w:type="dxa"/>
              <w:bottom w:w="40" w:type="dxa"/>
              <w:left w:w="50" w:type="dxa"/>
              <w:right w:w="50" w:type="dxa"/>
            </w:tcMar>
          </w:tcPr>
          <w:p>
            <w:r>
              <w:rPr>
                <w:rFonts w:ascii="Arial" w:hAnsi="Arial"/>
                <w:b/>
                <w:color w:val="000000"/>
                <w:sz w:val="17"/>
              </w:rPr>
              <w:t xml:space="preserve">Date: </w:t>
            </w:r>
            <w:r>
              <w:rPr>
                <w:rFonts w:ascii="Arial" w:hAnsi="Arial"/>
                <w:b/>
                <w:color w:val="000000"/>
                <w:sz w:val="17"/>
              </w:rPr>
              <w:t>26-OCT-2026</w:t>
            </w:r>
          </w:p>
        </w:tc>
        <w:tc>
          <w:tcPr>
            <w:tcW w:type="dxa" w:w="3346"/>
            <w:tcMar>
              <w:top w:w="40" w:type="dxa"/>
              <w:bottom w:w="40" w:type="dxa"/>
              <w:left w:w="50" w:type="dxa"/>
              <w:right w:w="50" w:type="dxa"/>
            </w:tcMar>
          </w:tcPr>
          <w:p>
            <w:r>
              <w:rPr>
                <w:rFonts w:ascii="Arial" w:hAnsi="Arial"/>
                <w:b/>
                <w:color w:val="000000"/>
                <w:sz w:val="17"/>
              </w:rPr>
              <w:t xml:space="preserve">Department Seal: </w:t>
            </w:r>
            <w:r>
              <w:rPr>
                <w:rFonts w:ascii="Arial" w:hAnsi="Arial"/>
                <w:b/>
                <w:color w:val="000000"/>
                <w:sz w:val="17"/>
              </w:rPr>
              <w:t>[ ETC LAB RECORD EN 4177 ]</w:t>
            </w:r>
          </w:p>
        </w:tc>
      </w:tr>
    </w:tbl>
    <w:p>
      <w:pPr>
        <w:jc w:val="right"/>
      </w:pPr>
      <w:r>
        <w:rPr>
          <w:rFonts w:ascii="Arial" w:hAnsi="Arial"/>
          <w:b/>
          <w:color w:val="000000"/>
          <w:sz w:val="16"/>
        </w:rPr>
        <w:t>PBCOE Department of Electronics &amp; Telecommunication Engineering | Embedded Systems | Activity - 2 | Page 6 of 6 (Final Endorsement)</w:t>
      </w:r>
    </w:p>
    <w:sectPr w:rsidR="00FC693F" w:rsidRPr="0006063C" w:rsidSect="00034616">
      <w:pgSz w:w="11909" w:h="16834"/>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