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44"/>
        </w:rPr>
        <w:t>ACTIVITY - 2</w:t>
      </w:r>
    </w:p>
    <w:p>
      <w:pPr>
        <w:spacing w:after="160"/>
        <w:jc w:val="center"/>
      </w:pPr>
      <w:r>
        <w:rPr>
          <w:rFonts w:ascii="Arial" w:hAnsi="Arial"/>
          <w:b/>
          <w:color w:val="000000"/>
          <w:sz w:val="22"/>
        </w:rPr>
        <w:t>DESIGN &amp; IMPLEMENTATION OF AN IOT-ENABLED EMBEDDED BIOMETRIC TELEMETRY &amp; ATTENDANCE AUTOMATION SYSTEM USING ESP32, R307 OPTICAL SENSOR &amp; SUPABASE CLOUD</w:t>
      </w:r>
    </w:p>
    <w:p>
      <w:pPr>
        <w:spacing w:before="140" w:after="60"/>
      </w:pPr>
      <w:r>
        <w:rPr>
          <w:rFonts w:ascii="Arial" w:hAnsi="Arial"/>
          <w:b/>
          <w:color w:val="000000"/>
          <w:sz w:val="23"/>
        </w:rPr>
        <w:t>1. INTRODUCTION</w:t>
      </w:r>
    </w:p>
    <w:p>
      <w:pPr>
        <w:spacing w:after="100" w:line="288" w:lineRule="auto"/>
      </w:pPr>
      <w:r>
        <w:rPr>
          <w:rFonts w:ascii="Arial" w:hAnsi="Arial"/>
          <w:color w:val="000000"/>
          <w:sz w:val="20"/>
        </w:rPr>
        <w:t>Taking student attendance manually using paper sheets and registers in college classrooms and laboratories causes significant loss of instructional time. Paper attendance records are easily damaged, misplaced, and susceptible to proxy marking by other students. Commercial biometric attendance machines available in the market are very expensive (costing between ₹15,000 and ₹25,000 per unit) and demand recurring annual software maintenance charges.</w:t>
      </w:r>
    </w:p>
    <w:p>
      <w:pPr>
        <w:spacing w:after="100" w:line="288" w:lineRule="auto"/>
      </w:pPr>
      <w:r>
        <w:rPr>
          <w:rFonts w:ascii="Arial" w:hAnsi="Arial"/>
          <w:color w:val="000000"/>
          <w:sz w:val="20"/>
        </w:rPr>
        <w:t>To solve these challenges, this laboratory project presents the design and construction of an affordable, standalone IoT-Enabled Biometric Attendance System. Built using an ESP32 microcontroller, an R307 optical fingerprint scanner, and a piezo buzzer on a breadboard, the entire hardware prototype was built for an exact cost of only ₹1,000, with ₹0.00 recurring cloud or software licensing fees.</w:t>
      </w:r>
    </w:p>
    <w:p>
      <w:pPr>
        <w:spacing w:after="100" w:line="288" w:lineRule="auto"/>
      </w:pPr>
      <w:r>
        <w:rPr>
          <w:rFonts w:ascii="Arial" w:hAnsi="Arial"/>
          <w:color w:val="000000"/>
          <w:sz w:val="20"/>
        </w:rPr>
        <w:t>The system operates completely independently without requiring a desktop computer. When a student places their finger on the sensor, the R307 module scans the fingerprint in less than 0.2 seconds and matches it against enrolled students. Upon successful verification, the buzzer chimes, and the ESP32 automatically transmits the student's ID and timestamp directly over campus Wi-Fi to a free Supabase PostgreSQL cloud database. The attendance is instantly visible on the college web portal (etcianspbcoe.dpdns.org) on any smartphone or laptop within 350 milliseconds.</w:t>
      </w:r>
    </w:p>
    <w:p>
      <w:pPr>
        <w:spacing w:before="60" w:after="40"/>
        <w:jc w:val="center"/>
      </w:pPr>
      <w:r>
        <w:drawing>
          <wp:inline xmlns:a="http://schemas.openxmlformats.org/drawingml/2006/main" xmlns:pic="http://schemas.openxmlformats.org/drawingml/2006/picture">
            <wp:extent cx="4114800" cy="2296633"/>
            <wp:docPr id="1" name="Picture 1"/>
            <wp:cNvGraphicFramePr>
              <a:graphicFrameLocks noChangeAspect="1"/>
            </wp:cNvGraphicFramePr>
            <a:graphic>
              <a:graphicData uri="http://schemas.openxmlformats.org/drawingml/2006/picture">
                <pic:pic>
                  <pic:nvPicPr>
                    <pic:cNvPr id="0" name="system-overview-diagram.jpg"/>
                    <pic:cNvPicPr/>
                  </pic:nvPicPr>
                  <pic:blipFill>
                    <a:blip r:embed="rId9"/>
                    <a:stretch>
                      <a:fillRect/>
                    </a:stretch>
                  </pic:blipFill>
                  <pic:spPr>
                    <a:xfrm>
                      <a:off x="0" y="0"/>
                      <a:ext cx="4114800" cy="2296633"/>
                    </a:xfrm>
                    <a:prstGeom prst="rect"/>
                  </pic:spPr>
                </pic:pic>
              </a:graphicData>
            </a:graphic>
          </wp:inline>
        </w:drawing>
      </w:r>
    </w:p>
    <w:p>
      <w:pPr>
        <w:jc w:val="center"/>
      </w:pPr>
      <w:r>
        <w:rPr>
          <w:rFonts w:ascii="Arial" w:hAnsi="Arial"/>
          <w:b/>
          <w:color w:val="000000"/>
          <w:sz w:val="17"/>
        </w:rPr>
        <w:t>Fig 1.1: System Architecture Overview — Optical Fingerprint Edge Sensor, ESP32 Cloud Gateway &amp; Live Web Portal</w:t>
      </w:r>
    </w:p>
    <w:p>
      <w:pPr>
        <w:spacing w:before="140" w:after="60"/>
      </w:pPr>
      <w:r>
        <w:rPr>
          <w:rFonts w:ascii="Arial" w:hAnsi="Arial"/>
          <w:b/>
          <w:color w:val="000000"/>
          <w:sz w:val="23"/>
        </w:rPr>
        <w:t>2. THEORETICAL PRINCIPLES OF BIOMETRIC SENSING &amp; OPTICAL FTIR PHYSICS</w:t>
      </w:r>
    </w:p>
    <w:p>
      <w:pPr>
        <w:spacing w:after="100" w:line="288" w:lineRule="auto"/>
      </w:pPr>
      <w:r>
        <w:rPr>
          <w:rFonts w:ascii="Arial" w:hAnsi="Arial"/>
          <w:color w:val="000000"/>
          <w:sz w:val="20"/>
        </w:rPr>
        <w:t>Human fingerprints are uniquely identified by friction ridges and valleys on the skin surface. The individual points where a ridge abruptly ends (ridge ending) or divides into two branches (ridge bifurcation) are known as Minutiae Points. The R307 scanner captures these points using Frustrated Total Internal Reflection (FTIR).</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How Optical FTIR Sensing Works:</w:t>
              <w:br/>
            </w:r>
            <w:r>
              <w:rPr>
                <w:rFonts w:ascii="Arial" w:hAnsi="Arial"/>
                <w:color w:val="000000"/>
                <w:sz w:val="19"/>
              </w:rPr>
              <w:t>The sensor contains an internal blue LED that shines light through an optical glass prism at a specific angle. When no finger is present, all light reflects off the glass surface into an internal CMOS camera (producing a bright background). When a student presses a finger against the glass, the ridges touch the surface and absorb light (appearing as dark lines), while valleys maintain an air gap and reflect light (appearing bright). The internal processor digitizes this 500 DPI image into a compact 512-byte mathematical code and matches it against enrolled student slots.</w:t>
            </w:r>
          </w:p>
        </w:tc>
      </w:tr>
    </w:tbl>
    <w:p>
      <w:pPr>
        <w:jc w:val="right"/>
      </w:pPr>
      <w:r>
        <w:rPr>
          <w:rFonts w:ascii="Arial" w:hAnsi="Arial"/>
          <w:b/>
          <w:color w:val="000000"/>
          <w:sz w:val="16"/>
        </w:rPr>
        <w:t>PBCOE Department of Electronics &amp; Telecommunication Engineering | Embedded Systems | Activity - 2 | Page 1 of 6</w:t>
      </w:r>
    </w:p>
    <w:p>
      <w:r>
        <w:br w:type="page"/>
      </w:r>
    </w:p>
    <w:p>
      <w:pPr>
        <w:spacing w:after="120"/>
        <w:jc w:val="right"/>
      </w:pPr>
      <w:r>
        <w:rPr>
          <w:rFonts w:ascii="Arial" w:hAnsi="Arial"/>
          <w:b/>
          <w:color w:val="000000"/>
          <w:sz w:val="17"/>
        </w:rPr>
        <w:t>ACTIVITY - 2 // EMBEDDED SYSTEMS (ET501T / ET503P) — PBCOE ETC DEPARTMENT</w:t>
      </w:r>
    </w:p>
    <w:p>
      <w:pPr>
        <w:spacing w:before="140" w:after="60"/>
      </w:pPr>
      <w:r>
        <w:rPr>
          <w:rFonts w:ascii="Arial" w:hAnsi="Arial"/>
          <w:b/>
          <w:color w:val="000000"/>
          <w:sz w:val="23"/>
        </w:rPr>
        <w:t>3. COMPONENTS REQUIRED (BILL OF MATERIALS &amp; HARDWARE INVESTMENT)</w:t>
      </w:r>
    </w:p>
    <w:p>
      <w:pPr>
        <w:spacing w:after="100" w:line="288" w:lineRule="auto"/>
      </w:pPr>
      <w:r>
        <w:rPr>
          <w:rFonts w:ascii="Arial" w:hAnsi="Arial"/>
          <w:color w:val="000000"/>
          <w:sz w:val="20"/>
        </w:rPr>
        <w:t>The entire hardware prototype was selected and assembled to achieve maximum reliability at the lowest possible cost. The complete bill of materials totals exactly ₹1,000, with zero recurring cloud or software costs: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007"/>
        <w:gridCol w:w="2007"/>
        <w:gridCol w:w="2007"/>
        <w:gridCol w:w="2007"/>
        <w:gridCol w:w="2007"/>
      </w:tblGrid>
      <w:tr>
        <w:tc>
          <w:tcPr>
            <w:tcW w:type="dxa" w:w="2007"/>
            <w:tcMar>
              <w:top w:w="35" w:type="dxa"/>
              <w:bottom w:w="35" w:type="dxa"/>
              <w:left w:w="55" w:type="dxa"/>
              <w:right w:w="55" w:type="dxa"/>
            </w:tcMar>
            <w:shd w:fill="000000"/>
          </w:tcPr>
          <w:p>
            <w:r>
              <w:rPr>
                <w:rFonts w:ascii="Arial" w:hAnsi="Arial"/>
                <w:b/>
                <w:color w:val="FFFFFF"/>
                <w:sz w:val="17"/>
              </w:rPr>
              <w:t>Sr.</w:t>
            </w:r>
          </w:p>
        </w:tc>
        <w:tc>
          <w:tcPr>
            <w:tcW w:type="dxa" w:w="2007"/>
            <w:tcMar>
              <w:top w:w="35" w:type="dxa"/>
              <w:bottom w:w="35" w:type="dxa"/>
              <w:left w:w="55" w:type="dxa"/>
              <w:right w:w="55" w:type="dxa"/>
            </w:tcMar>
            <w:shd w:fill="000000"/>
          </w:tcPr>
          <w:p>
            <w:r>
              <w:rPr>
                <w:rFonts w:ascii="Arial" w:hAnsi="Arial"/>
                <w:b/>
                <w:color w:val="FFFFFF"/>
                <w:sz w:val="17"/>
              </w:rPr>
              <w:t>Component Name &amp; Model</w:t>
            </w:r>
          </w:p>
        </w:tc>
        <w:tc>
          <w:tcPr>
            <w:tcW w:type="dxa" w:w="2007"/>
            <w:tcMar>
              <w:top w:w="35" w:type="dxa"/>
              <w:bottom w:w="35" w:type="dxa"/>
              <w:left w:w="55" w:type="dxa"/>
              <w:right w:w="55" w:type="dxa"/>
            </w:tcMar>
            <w:shd w:fill="000000"/>
          </w:tcPr>
          <w:p>
            <w:r>
              <w:rPr>
                <w:rFonts w:ascii="Arial" w:hAnsi="Arial"/>
                <w:b/>
                <w:color w:val="FFFFFF"/>
                <w:sz w:val="17"/>
              </w:rPr>
              <w:t>Technical Specifications</w:t>
            </w:r>
          </w:p>
        </w:tc>
        <w:tc>
          <w:tcPr>
            <w:tcW w:type="dxa" w:w="2007"/>
            <w:tcMar>
              <w:top w:w="35" w:type="dxa"/>
              <w:bottom w:w="35" w:type="dxa"/>
              <w:left w:w="55" w:type="dxa"/>
              <w:right w:w="55" w:type="dxa"/>
            </w:tcMar>
            <w:shd w:fill="000000"/>
          </w:tcPr>
          <w:p>
            <w:r>
              <w:rPr>
                <w:rFonts w:ascii="Arial" w:hAnsi="Arial"/>
                <w:b/>
                <w:color w:val="FFFFFF"/>
                <w:sz w:val="17"/>
              </w:rPr>
              <w:t>Qty</w:t>
            </w:r>
          </w:p>
        </w:tc>
        <w:tc>
          <w:tcPr>
            <w:tcW w:type="dxa" w:w="2007"/>
            <w:tcMar>
              <w:top w:w="35" w:type="dxa"/>
              <w:bottom w:w="35" w:type="dxa"/>
              <w:left w:w="55" w:type="dxa"/>
              <w:right w:w="55" w:type="dxa"/>
            </w:tcMar>
            <w:shd w:fill="000000"/>
          </w:tcPr>
          <w:p>
            <w:r>
              <w:rPr>
                <w:rFonts w:ascii="Arial" w:hAnsi="Arial"/>
                <w:b/>
                <w:color w:val="FFFFFF"/>
                <w:sz w:val="17"/>
              </w:rPr>
              <w:t>Cost (INR)</w:t>
            </w:r>
          </w:p>
        </w:tc>
      </w:tr>
      <w:tr>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ESP32 NodeMCU-32S</w:t>
            </w:r>
          </w:p>
        </w:tc>
        <w:tc>
          <w:tcPr>
            <w:tcW w:type="dxa" w:w="2007"/>
            <w:tcMar>
              <w:top w:w="35" w:type="dxa"/>
              <w:bottom w:w="35" w:type="dxa"/>
              <w:left w:w="55" w:type="dxa"/>
              <w:right w:w="55" w:type="dxa"/>
            </w:tcMar>
          </w:tcPr>
          <w:p>
            <w:r>
              <w:rPr>
                <w:rFonts w:ascii="Arial" w:hAnsi="Arial"/>
                <w:color w:val="000000"/>
                <w:sz w:val="17"/>
              </w:rPr>
              <w:t>Dual-Core Xtensa LX6 @ 240MHz, 520KB SRAM, 802.11 b/g/n Wi-Fi, BLE 4.2</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₹380</w:t>
            </w:r>
          </w:p>
        </w:tc>
      </w:tr>
      <w:tr>
        <w:tc>
          <w:tcPr>
            <w:tcW w:type="dxa" w:w="2007"/>
            <w:tcMar>
              <w:top w:w="35" w:type="dxa"/>
              <w:bottom w:w="35" w:type="dxa"/>
              <w:left w:w="55" w:type="dxa"/>
              <w:right w:w="55" w:type="dxa"/>
            </w:tcMar>
          </w:tcPr>
          <w:p>
            <w:r>
              <w:rPr>
                <w:rFonts w:ascii="Arial" w:hAnsi="Arial"/>
                <w:color w:val="000000"/>
                <w:sz w:val="17"/>
              </w:rPr>
              <w:t>2</w:t>
            </w:r>
          </w:p>
        </w:tc>
        <w:tc>
          <w:tcPr>
            <w:tcW w:type="dxa" w:w="2007"/>
            <w:tcMar>
              <w:top w:w="35" w:type="dxa"/>
              <w:bottom w:w="35" w:type="dxa"/>
              <w:left w:w="55" w:type="dxa"/>
              <w:right w:w="55" w:type="dxa"/>
            </w:tcMar>
          </w:tcPr>
          <w:p>
            <w:r>
              <w:rPr>
                <w:rFonts w:ascii="Arial" w:hAnsi="Arial"/>
                <w:color w:val="000000"/>
                <w:sz w:val="17"/>
              </w:rPr>
              <w:t>R307 Optical Fingerprint Sensor</w:t>
            </w:r>
          </w:p>
        </w:tc>
        <w:tc>
          <w:tcPr>
            <w:tcW w:type="dxa" w:w="2007"/>
            <w:tcMar>
              <w:top w:w="35" w:type="dxa"/>
              <w:bottom w:w="35" w:type="dxa"/>
              <w:left w:w="55" w:type="dxa"/>
              <w:right w:w="55" w:type="dxa"/>
            </w:tcMar>
          </w:tcPr>
          <w:p>
            <w:r>
              <w:rPr>
                <w:rFonts w:ascii="Arial" w:hAnsi="Arial"/>
                <w:color w:val="000000"/>
                <w:sz w:val="17"/>
              </w:rPr>
              <w:t>500 DPI optical prism, 1,000 template internal flash, UART TTL (57600 baud)</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₹520</w:t>
            </w:r>
          </w:p>
        </w:tc>
      </w:tr>
      <w:tr>
        <w:tc>
          <w:tcPr>
            <w:tcW w:type="dxa" w:w="2007"/>
            <w:tcMar>
              <w:top w:w="35" w:type="dxa"/>
              <w:bottom w:w="35" w:type="dxa"/>
              <w:left w:w="55" w:type="dxa"/>
              <w:right w:w="55" w:type="dxa"/>
            </w:tcMar>
          </w:tcPr>
          <w:p>
            <w:r>
              <w:rPr>
                <w:rFonts w:ascii="Arial" w:hAnsi="Arial"/>
                <w:color w:val="000000"/>
                <w:sz w:val="17"/>
              </w:rPr>
              <w:t>3</w:t>
            </w:r>
          </w:p>
        </w:tc>
        <w:tc>
          <w:tcPr>
            <w:tcW w:type="dxa" w:w="2007"/>
            <w:tcMar>
              <w:top w:w="35" w:type="dxa"/>
              <w:bottom w:w="35" w:type="dxa"/>
              <w:left w:w="55" w:type="dxa"/>
              <w:right w:w="55" w:type="dxa"/>
            </w:tcMar>
          </w:tcPr>
          <w:p>
            <w:r>
              <w:rPr>
                <w:rFonts w:ascii="Arial" w:hAnsi="Arial"/>
                <w:color w:val="000000"/>
                <w:sz w:val="17"/>
              </w:rPr>
              <w:t>Active Piezo Buzzer (5V)</w:t>
            </w:r>
          </w:p>
        </w:tc>
        <w:tc>
          <w:tcPr>
            <w:tcW w:type="dxa" w:w="2007"/>
            <w:tcMar>
              <w:top w:w="35" w:type="dxa"/>
              <w:bottom w:w="35" w:type="dxa"/>
              <w:left w:w="55" w:type="dxa"/>
              <w:right w:w="55" w:type="dxa"/>
            </w:tcMar>
          </w:tcPr>
          <w:p>
            <w:r>
              <w:rPr>
                <w:rFonts w:ascii="Arial" w:hAnsi="Arial"/>
                <w:color w:val="000000"/>
                <w:sz w:val="17"/>
              </w:rPr>
              <w:t>Continuous acoustic chime indicator for scan verification pass/fail audio feedback</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₹15</w:t>
            </w:r>
          </w:p>
        </w:tc>
      </w:tr>
      <w:tr>
        <w:tc>
          <w:tcPr>
            <w:tcW w:type="dxa" w:w="2007"/>
            <w:tcMar>
              <w:top w:w="35" w:type="dxa"/>
              <w:bottom w:w="35" w:type="dxa"/>
              <w:left w:w="55" w:type="dxa"/>
              <w:right w:w="55" w:type="dxa"/>
            </w:tcMar>
          </w:tcPr>
          <w:p>
            <w:r>
              <w:rPr>
                <w:rFonts w:ascii="Arial" w:hAnsi="Arial"/>
                <w:color w:val="000000"/>
                <w:sz w:val="17"/>
              </w:rPr>
              <w:t>4</w:t>
            </w:r>
          </w:p>
        </w:tc>
        <w:tc>
          <w:tcPr>
            <w:tcW w:type="dxa" w:w="2007"/>
            <w:tcMar>
              <w:top w:w="35" w:type="dxa"/>
              <w:bottom w:w="35" w:type="dxa"/>
              <w:left w:w="55" w:type="dxa"/>
              <w:right w:w="55" w:type="dxa"/>
            </w:tcMar>
          </w:tcPr>
          <w:p>
            <w:r>
              <w:rPr>
                <w:rFonts w:ascii="Arial" w:hAnsi="Arial"/>
                <w:color w:val="000000"/>
                <w:sz w:val="17"/>
              </w:rPr>
              <w:t>Solderless Breadboard (400-Point)</w:t>
            </w:r>
          </w:p>
        </w:tc>
        <w:tc>
          <w:tcPr>
            <w:tcW w:type="dxa" w:w="2007"/>
            <w:tcMar>
              <w:top w:w="35" w:type="dxa"/>
              <w:bottom w:w="35" w:type="dxa"/>
              <w:left w:w="55" w:type="dxa"/>
              <w:right w:w="55" w:type="dxa"/>
            </w:tcMar>
          </w:tcPr>
          <w:p>
            <w:r>
              <w:rPr>
                <w:rFonts w:ascii="Arial" w:hAnsi="Arial"/>
                <w:color w:val="000000"/>
                <w:sz w:val="17"/>
              </w:rPr>
              <w:t>Standard 2.54mm pitch prototyping rail with positive/negative power distribution</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₹45</w:t>
            </w:r>
          </w:p>
        </w:tc>
      </w:tr>
      <w:tr>
        <w:tc>
          <w:tcPr>
            <w:tcW w:type="dxa" w:w="2007"/>
            <w:tcMar>
              <w:top w:w="35" w:type="dxa"/>
              <w:bottom w:w="35" w:type="dxa"/>
              <w:left w:w="55" w:type="dxa"/>
              <w:right w:w="55" w:type="dxa"/>
            </w:tcMar>
          </w:tcPr>
          <w:p>
            <w:r>
              <w:rPr>
                <w:rFonts w:ascii="Arial" w:hAnsi="Arial"/>
                <w:color w:val="000000"/>
                <w:sz w:val="17"/>
              </w:rPr>
              <w:t>5</w:t>
            </w:r>
          </w:p>
        </w:tc>
        <w:tc>
          <w:tcPr>
            <w:tcW w:type="dxa" w:w="2007"/>
            <w:tcMar>
              <w:top w:w="35" w:type="dxa"/>
              <w:bottom w:w="35" w:type="dxa"/>
              <w:left w:w="55" w:type="dxa"/>
              <w:right w:w="55" w:type="dxa"/>
            </w:tcMar>
          </w:tcPr>
          <w:p>
            <w:r>
              <w:rPr>
                <w:rFonts w:ascii="Arial" w:hAnsi="Arial"/>
                <w:color w:val="000000"/>
                <w:sz w:val="17"/>
              </w:rPr>
              <w:t>Dupont Jumper Cables (M-M / M-F)</w:t>
            </w:r>
          </w:p>
        </w:tc>
        <w:tc>
          <w:tcPr>
            <w:tcW w:type="dxa" w:w="2007"/>
            <w:tcMar>
              <w:top w:w="35" w:type="dxa"/>
              <w:bottom w:w="35" w:type="dxa"/>
              <w:left w:w="55" w:type="dxa"/>
              <w:right w:w="55" w:type="dxa"/>
            </w:tcMar>
          </w:tcPr>
          <w:p>
            <w:r>
              <w:rPr>
                <w:rFonts w:ascii="Arial" w:hAnsi="Arial"/>
                <w:color w:val="000000"/>
                <w:sz w:val="17"/>
              </w:rPr>
              <w:t>24 AWG flexible multi-colored stranded connection wires with gold-plated pins</w:t>
            </w:r>
          </w:p>
        </w:tc>
        <w:tc>
          <w:tcPr>
            <w:tcW w:type="dxa" w:w="2007"/>
            <w:tcMar>
              <w:top w:w="35" w:type="dxa"/>
              <w:bottom w:w="35" w:type="dxa"/>
              <w:left w:w="55" w:type="dxa"/>
              <w:right w:w="55" w:type="dxa"/>
            </w:tcMar>
          </w:tcPr>
          <w:p>
            <w:r>
              <w:rPr>
                <w:rFonts w:ascii="Arial" w:hAnsi="Arial"/>
                <w:color w:val="000000"/>
                <w:sz w:val="17"/>
              </w:rPr>
              <w:t>1 Set</w:t>
            </w:r>
          </w:p>
        </w:tc>
        <w:tc>
          <w:tcPr>
            <w:tcW w:type="dxa" w:w="2007"/>
            <w:tcMar>
              <w:top w:w="35" w:type="dxa"/>
              <w:bottom w:w="35" w:type="dxa"/>
              <w:left w:w="55" w:type="dxa"/>
              <w:right w:w="55" w:type="dxa"/>
            </w:tcMar>
          </w:tcPr>
          <w:p>
            <w:r>
              <w:rPr>
                <w:rFonts w:ascii="Arial" w:hAnsi="Arial"/>
                <w:color w:val="000000"/>
                <w:sz w:val="17"/>
              </w:rPr>
              <w:t>₹40</w:t>
            </w:r>
          </w:p>
        </w:tc>
      </w:tr>
      <w:tr>
        <w:tc>
          <w:tcPr>
            <w:tcW w:type="dxa" w:w="2007"/>
            <w:tcMar>
              <w:top w:w="35" w:type="dxa"/>
              <w:bottom w:w="35" w:type="dxa"/>
              <w:left w:w="55" w:type="dxa"/>
              <w:right w:w="55" w:type="dxa"/>
            </w:tcMar>
          </w:tcPr>
          <w:p>
            <w:r>
              <w:rPr>
                <w:rFonts w:ascii="Arial" w:hAnsi="Arial"/>
                <w:color w:val="000000"/>
                <w:sz w:val="17"/>
              </w:rPr>
              <w:t>6</w:t>
            </w:r>
          </w:p>
        </w:tc>
        <w:tc>
          <w:tcPr>
            <w:tcW w:type="dxa" w:w="2007"/>
            <w:tcMar>
              <w:top w:w="35" w:type="dxa"/>
              <w:bottom w:w="35" w:type="dxa"/>
              <w:left w:w="55" w:type="dxa"/>
              <w:right w:w="55" w:type="dxa"/>
            </w:tcMar>
          </w:tcPr>
          <w:p>
            <w:r>
              <w:rPr>
                <w:rFonts w:ascii="Arial" w:hAnsi="Arial"/>
                <w:color w:val="000000"/>
                <w:sz w:val="17"/>
              </w:rPr>
              <w:t>Micro-USB Power Interface</w:t>
            </w:r>
          </w:p>
        </w:tc>
        <w:tc>
          <w:tcPr>
            <w:tcW w:type="dxa" w:w="2007"/>
            <w:tcMar>
              <w:top w:w="35" w:type="dxa"/>
              <w:bottom w:w="35" w:type="dxa"/>
              <w:left w:w="55" w:type="dxa"/>
              <w:right w:w="55" w:type="dxa"/>
            </w:tcMar>
          </w:tcPr>
          <w:p>
            <w:r>
              <w:rPr>
                <w:rFonts w:ascii="Arial" w:hAnsi="Arial"/>
                <w:color w:val="000000"/>
                <w:sz w:val="17"/>
              </w:rPr>
              <w:t>Regulated 5V / 1A power delivery via laptop terminal or phone charger adapter</w:t>
            </w:r>
          </w:p>
        </w:tc>
        <w:tc>
          <w:tcPr>
            <w:tcW w:type="dxa" w:w="2007"/>
            <w:tcMar>
              <w:top w:w="35" w:type="dxa"/>
              <w:bottom w:w="35" w:type="dxa"/>
              <w:left w:w="55" w:type="dxa"/>
              <w:right w:w="55" w:type="dxa"/>
            </w:tcMar>
          </w:tcPr>
          <w:p>
            <w:r>
              <w:rPr>
                <w:rFonts w:ascii="Arial" w:hAnsi="Arial"/>
                <w:color w:val="000000"/>
                <w:sz w:val="17"/>
              </w:rPr>
              <w:t>1</w:t>
            </w:r>
          </w:p>
        </w:tc>
        <w:tc>
          <w:tcPr>
            <w:tcW w:type="dxa" w:w="2007"/>
            <w:tcMar>
              <w:top w:w="35" w:type="dxa"/>
              <w:bottom w:w="35" w:type="dxa"/>
              <w:left w:w="55" w:type="dxa"/>
              <w:right w:w="55" w:type="dxa"/>
            </w:tcMar>
          </w:tcPr>
          <w:p>
            <w:r>
              <w:rPr>
                <w:rFonts w:ascii="Arial" w:hAnsi="Arial"/>
                <w:color w:val="000000"/>
                <w:sz w:val="17"/>
              </w:rPr>
              <w:t>₹0 (Lab Stock)</w:t>
            </w:r>
          </w:p>
        </w:tc>
      </w:tr>
      <w:tr>
        <w:tc>
          <w:tcPr>
            <w:tcW w:type="dxa" w:w="2007"/>
            <w:tcMar>
              <w:top w:w="35" w:type="dxa"/>
              <w:bottom w:w="35" w:type="dxa"/>
              <w:left w:w="55" w:type="dxa"/>
              <w:right w:w="55" w:type="dxa"/>
            </w:tcMar>
          </w:tcPr>
          <w:p>
            <w:r>
              <w:rPr>
                <w:rFonts w:ascii="Arial" w:hAnsi="Arial"/>
                <w:color w:val="000000"/>
                <w:sz w:val="17"/>
              </w:rPr>
              <w:t>7</w:t>
            </w:r>
          </w:p>
        </w:tc>
        <w:tc>
          <w:tcPr>
            <w:tcW w:type="dxa" w:w="2007"/>
            <w:tcMar>
              <w:top w:w="35" w:type="dxa"/>
              <w:bottom w:w="35" w:type="dxa"/>
              <w:left w:w="55" w:type="dxa"/>
              <w:right w:w="55" w:type="dxa"/>
            </w:tcMar>
          </w:tcPr>
          <w:p>
            <w:r>
              <w:rPr>
                <w:rFonts w:ascii="Arial" w:hAnsi="Arial"/>
                <w:color w:val="000000"/>
                <w:sz w:val="17"/>
              </w:rPr>
              <w:t>Supabase PostgreSQL Database</w:t>
            </w:r>
          </w:p>
        </w:tc>
        <w:tc>
          <w:tcPr>
            <w:tcW w:type="dxa" w:w="2007"/>
            <w:tcMar>
              <w:top w:w="35" w:type="dxa"/>
              <w:bottom w:w="35" w:type="dxa"/>
              <w:left w:w="55" w:type="dxa"/>
              <w:right w:w="55" w:type="dxa"/>
            </w:tcMar>
          </w:tcPr>
          <w:p>
            <w:r>
              <w:rPr>
                <w:rFonts w:ascii="Arial" w:hAnsi="Arial"/>
                <w:color w:val="000000"/>
                <w:sz w:val="17"/>
              </w:rPr>
              <w:t>Serverless cloud database, RESTful HTTPS API, real-time WebSocket live updates</w:t>
            </w:r>
          </w:p>
        </w:tc>
        <w:tc>
          <w:tcPr>
            <w:tcW w:type="dxa" w:w="2007"/>
            <w:tcMar>
              <w:top w:w="35" w:type="dxa"/>
              <w:bottom w:w="35" w:type="dxa"/>
              <w:left w:w="55" w:type="dxa"/>
              <w:right w:w="55" w:type="dxa"/>
            </w:tcMar>
          </w:tcPr>
          <w:p>
            <w:r>
              <w:rPr>
                <w:rFonts w:ascii="Arial" w:hAnsi="Arial"/>
                <w:color w:val="000000"/>
                <w:sz w:val="17"/>
              </w:rPr>
              <w:t>Cloud</w:t>
            </w:r>
          </w:p>
        </w:tc>
        <w:tc>
          <w:tcPr>
            <w:tcW w:type="dxa" w:w="2007"/>
            <w:tcMar>
              <w:top w:w="35" w:type="dxa"/>
              <w:bottom w:w="35" w:type="dxa"/>
              <w:left w:w="55" w:type="dxa"/>
              <w:right w:w="55" w:type="dxa"/>
            </w:tcMar>
          </w:tcPr>
          <w:p>
            <w:r>
              <w:rPr>
                <w:rFonts w:ascii="Arial" w:hAnsi="Arial"/>
                <w:color w:val="000000"/>
                <w:sz w:val="17"/>
              </w:rPr>
              <w:t>₹0.00 (Free Tier)</w:t>
            </w:r>
          </w:p>
        </w:tc>
      </w:tr>
      <w:tr>
        <w:tc>
          <w:tcPr>
            <w:tcW w:type="dxa" w:w="2007"/>
            <w:tcMar>
              <w:top w:w="35" w:type="dxa"/>
              <w:bottom w:w="35" w:type="dxa"/>
              <w:left w:w="55" w:type="dxa"/>
              <w:right w:w="55" w:type="dxa"/>
            </w:tcMar>
          </w:tcPr>
          <w:p>
            <w:r>
              <w:rPr>
                <w:rFonts w:ascii="Arial" w:hAnsi="Arial"/>
                <w:color w:val="000000"/>
                <w:sz w:val="17"/>
              </w:rPr>
              <w:t>8</w:t>
            </w:r>
          </w:p>
        </w:tc>
        <w:tc>
          <w:tcPr>
            <w:tcW w:type="dxa" w:w="2007"/>
            <w:tcMar>
              <w:top w:w="35" w:type="dxa"/>
              <w:bottom w:w="35" w:type="dxa"/>
              <w:left w:w="55" w:type="dxa"/>
              <w:right w:w="55" w:type="dxa"/>
            </w:tcMar>
          </w:tcPr>
          <w:p>
            <w:r>
              <w:rPr>
                <w:rFonts w:ascii="Arial" w:hAnsi="Arial"/>
                <w:color w:val="000000"/>
                <w:sz w:val="17"/>
              </w:rPr>
              <w:t>Web Portal Hosting (GitHub Pages)</w:t>
            </w:r>
          </w:p>
        </w:tc>
        <w:tc>
          <w:tcPr>
            <w:tcW w:type="dxa" w:w="2007"/>
            <w:tcMar>
              <w:top w:w="35" w:type="dxa"/>
              <w:bottom w:w="35" w:type="dxa"/>
              <w:left w:w="55" w:type="dxa"/>
              <w:right w:w="55" w:type="dxa"/>
            </w:tcMar>
          </w:tcPr>
          <w:p>
            <w:r>
              <w:rPr>
                <w:rFonts w:ascii="Arial" w:hAnsi="Arial"/>
                <w:color w:val="000000"/>
                <w:sz w:val="17"/>
              </w:rPr>
              <w:t>Global edge CDN distribution with custom domain DNS proxy (etcianspbcoe.dpdns.org)</w:t>
            </w:r>
          </w:p>
        </w:tc>
        <w:tc>
          <w:tcPr>
            <w:tcW w:type="dxa" w:w="2007"/>
            <w:tcMar>
              <w:top w:w="35" w:type="dxa"/>
              <w:bottom w:w="35" w:type="dxa"/>
              <w:left w:w="55" w:type="dxa"/>
              <w:right w:w="55" w:type="dxa"/>
            </w:tcMar>
          </w:tcPr>
          <w:p>
            <w:r>
              <w:rPr>
                <w:rFonts w:ascii="Arial" w:hAnsi="Arial"/>
                <w:color w:val="000000"/>
                <w:sz w:val="17"/>
              </w:rPr>
              <w:t>Cloud</w:t>
            </w:r>
          </w:p>
        </w:tc>
        <w:tc>
          <w:tcPr>
            <w:tcW w:type="dxa" w:w="2007"/>
            <w:tcMar>
              <w:top w:w="35" w:type="dxa"/>
              <w:bottom w:w="35" w:type="dxa"/>
              <w:left w:w="55" w:type="dxa"/>
              <w:right w:w="55" w:type="dxa"/>
            </w:tcMar>
          </w:tcPr>
          <w:p>
            <w:r>
              <w:rPr>
                <w:rFonts w:ascii="Arial" w:hAnsi="Arial"/>
                <w:color w:val="000000"/>
                <w:sz w:val="17"/>
              </w:rPr>
              <w:t>₹0.00 (Open Free)</w:t>
            </w:r>
          </w:p>
        </w:tc>
      </w:tr>
      <w:tr>
        <w:tc>
          <w:tcPr>
            <w:tcW w:type="dxa" w:w="2007"/>
            <w:tcMar>
              <w:top w:w="35" w:type="dxa"/>
              <w:bottom w:w="35" w:type="dxa"/>
              <w:left w:w="55" w:type="dxa"/>
              <w:right w:w="55" w:type="dxa"/>
            </w:tcMar>
            <w:shd w:fill="E5E5E5"/>
          </w:tcPr>
          <w:p>
            <w:r>
              <w:rPr>
                <w:rFonts w:ascii="Arial" w:hAnsi="Arial"/>
                <w:b/>
                <w:color w:val="000000"/>
                <w:sz w:val="17"/>
              </w:rPr>
              <w:t>TOTAL</w:t>
            </w:r>
          </w:p>
        </w:tc>
        <w:tc>
          <w:tcPr>
            <w:tcW w:type="dxa" w:w="2007"/>
            <w:tcMar>
              <w:top w:w="35" w:type="dxa"/>
              <w:bottom w:w="35" w:type="dxa"/>
              <w:left w:w="55" w:type="dxa"/>
              <w:right w:w="55" w:type="dxa"/>
            </w:tcMar>
            <w:shd w:fill="E5E5E5"/>
          </w:tcPr>
          <w:p>
            <w:r>
              <w:rPr>
                <w:rFonts w:ascii="Arial" w:hAnsi="Arial"/>
                <w:b/>
                <w:color w:val="000000"/>
                <w:sz w:val="17"/>
              </w:rPr>
              <w:t>COMPLETE PROTOTYPE EXPENDITURE</w:t>
            </w:r>
          </w:p>
        </w:tc>
        <w:tc>
          <w:tcPr>
            <w:tcW w:type="dxa" w:w="2007"/>
            <w:tcMar>
              <w:top w:w="35" w:type="dxa"/>
              <w:bottom w:w="35" w:type="dxa"/>
              <w:left w:w="55" w:type="dxa"/>
              <w:right w:w="55" w:type="dxa"/>
            </w:tcMar>
            <w:shd w:fill="E5E5E5"/>
          </w:tcPr>
          <w:p>
            <w:r>
              <w:rPr>
                <w:rFonts w:ascii="Arial" w:hAnsi="Arial"/>
                <w:b/>
                <w:color w:val="000000"/>
                <w:sz w:val="17"/>
              </w:rPr>
              <w:t>Hardware: ₹1,000 /- | Cloud &amp; Software License: ₹0.00 / month</w:t>
            </w:r>
          </w:p>
        </w:tc>
        <w:tc>
          <w:tcPr>
            <w:tcW w:type="dxa" w:w="2007"/>
            <w:tcMar>
              <w:top w:w="35" w:type="dxa"/>
              <w:bottom w:w="35" w:type="dxa"/>
              <w:left w:w="55" w:type="dxa"/>
              <w:right w:w="55" w:type="dxa"/>
            </w:tcMar>
            <w:shd w:fill="E5E5E5"/>
          </w:tcPr>
          <w:p>
            <w:r>
              <w:rPr>
                <w:rFonts w:ascii="Arial" w:hAnsi="Arial"/>
                <w:b/>
                <w:color w:val="000000"/>
                <w:sz w:val="17"/>
              </w:rPr>
            </w:r>
          </w:p>
        </w:tc>
        <w:tc>
          <w:tcPr>
            <w:tcW w:type="dxa" w:w="2007"/>
            <w:tcMar>
              <w:top w:w="35" w:type="dxa"/>
              <w:bottom w:w="35" w:type="dxa"/>
              <w:left w:w="55" w:type="dxa"/>
              <w:right w:w="55" w:type="dxa"/>
            </w:tcMar>
            <w:shd w:fill="E5E5E5"/>
          </w:tcPr>
          <w:p>
            <w:r>
              <w:rPr>
                <w:rFonts w:ascii="Arial" w:hAnsi="Arial"/>
                <w:b/>
                <w:color w:val="000000"/>
                <w:sz w:val="17"/>
              </w:rPr>
              <w:t>₹1,000 /-</w:t>
            </w:r>
          </w:p>
        </w:tc>
      </w:tr>
    </w:tbl>
    <w:p>
      <w:pPr>
        <w:spacing w:before="140" w:after="60"/>
      </w:pPr>
      <w:r>
        <w:rPr>
          <w:rFonts w:ascii="Arial" w:hAnsi="Arial"/>
          <w:b/>
          <w:color w:val="000000"/>
          <w:sz w:val="23"/>
        </w:rPr>
        <w:t>4. COST DIFFERENTIATION: OUR ₹1,000 SYSTEM VS. COMMERCIAL SOLUTIONS</w:t>
      </w:r>
    </w:p>
    <w:p>
      <w:pPr>
        <w:spacing w:after="100" w:line="288" w:lineRule="auto"/>
      </w:pPr>
      <w:r>
        <w:rPr>
          <w:rFonts w:ascii="Arial" w:hAnsi="Arial"/>
          <w:color w:val="000000"/>
          <w:sz w:val="20"/>
        </w:rPr>
        <w:t>Conventional biometric terminals (manufactured by vendors such as eSSL, Matrix, or Realtime) present steep initial costs and lock institutes into proprietary closed software. Our custom solution provides substantial financial and technical advantages: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509"/>
            <w:tcMar>
              <w:top w:w="35" w:type="dxa"/>
              <w:bottom w:w="35" w:type="dxa"/>
              <w:left w:w="55" w:type="dxa"/>
              <w:right w:w="55" w:type="dxa"/>
            </w:tcMar>
            <w:shd w:fill="000000"/>
          </w:tcPr>
          <w:p>
            <w:r>
              <w:rPr>
                <w:rFonts w:ascii="Arial" w:hAnsi="Arial"/>
                <w:b/>
                <w:color w:val="FFFFFF"/>
                <w:sz w:val="17"/>
              </w:rPr>
              <w:t>Evaluation Parameter</w:t>
            </w:r>
          </w:p>
        </w:tc>
        <w:tc>
          <w:tcPr>
            <w:tcW w:type="dxa" w:w="2509"/>
            <w:tcMar>
              <w:top w:w="35" w:type="dxa"/>
              <w:bottom w:w="35" w:type="dxa"/>
              <w:left w:w="55" w:type="dxa"/>
              <w:right w:w="55" w:type="dxa"/>
            </w:tcMar>
            <w:shd w:fill="000000"/>
          </w:tcPr>
          <w:p>
            <w:r>
              <w:rPr>
                <w:rFonts w:ascii="Arial" w:hAnsi="Arial"/>
                <w:b/>
                <w:color w:val="FFFFFF"/>
                <w:sz w:val="17"/>
              </w:rPr>
              <w:t>Commercial Biometric Terminal</w:t>
            </w:r>
          </w:p>
        </w:tc>
        <w:tc>
          <w:tcPr>
            <w:tcW w:type="dxa" w:w="2509"/>
            <w:tcMar>
              <w:top w:w="35" w:type="dxa"/>
              <w:bottom w:w="35" w:type="dxa"/>
              <w:left w:w="55" w:type="dxa"/>
              <w:right w:w="55" w:type="dxa"/>
            </w:tcMar>
            <w:shd w:fill="000000"/>
          </w:tcPr>
          <w:p>
            <w:r>
              <w:rPr>
                <w:rFonts w:ascii="Arial" w:hAnsi="Arial"/>
                <w:b/>
                <w:color w:val="FFFFFF"/>
                <w:sz w:val="17"/>
              </w:rPr>
              <w:t>PBCOE Embedded Solution (Ours)</w:t>
            </w:r>
          </w:p>
        </w:tc>
        <w:tc>
          <w:tcPr>
            <w:tcW w:type="dxa" w:w="2509"/>
            <w:tcMar>
              <w:top w:w="35" w:type="dxa"/>
              <w:bottom w:w="35" w:type="dxa"/>
              <w:left w:w="55" w:type="dxa"/>
              <w:right w:w="55" w:type="dxa"/>
            </w:tcMar>
            <w:shd w:fill="000000"/>
          </w:tcPr>
          <w:p>
            <w:r>
              <w:rPr>
                <w:rFonts w:ascii="Arial" w:hAnsi="Arial"/>
                <w:b/>
                <w:color w:val="FFFFFF"/>
                <w:sz w:val="17"/>
              </w:rPr>
              <w:t>Engineering Advantage</w:t>
            </w:r>
          </w:p>
        </w:tc>
      </w:tr>
      <w:tr>
        <w:tc>
          <w:tcPr>
            <w:tcW w:type="dxa" w:w="2509"/>
            <w:tcMar>
              <w:top w:w="35" w:type="dxa"/>
              <w:bottom w:w="35" w:type="dxa"/>
              <w:left w:w="55" w:type="dxa"/>
              <w:right w:w="55" w:type="dxa"/>
            </w:tcMar>
          </w:tcPr>
          <w:p>
            <w:r>
              <w:rPr>
                <w:rFonts w:ascii="Arial" w:hAnsi="Arial"/>
                <w:color w:val="000000"/>
                <w:sz w:val="17"/>
              </w:rPr>
              <w:t>Initial Hardware Capex</w:t>
            </w:r>
          </w:p>
        </w:tc>
        <w:tc>
          <w:tcPr>
            <w:tcW w:type="dxa" w:w="2509"/>
            <w:tcMar>
              <w:top w:w="35" w:type="dxa"/>
              <w:bottom w:w="35" w:type="dxa"/>
              <w:left w:w="55" w:type="dxa"/>
              <w:right w:w="55" w:type="dxa"/>
            </w:tcMar>
          </w:tcPr>
          <w:p>
            <w:r>
              <w:rPr>
                <w:rFonts w:ascii="Arial" w:hAnsi="Arial"/>
                <w:color w:val="000000"/>
                <w:sz w:val="17"/>
              </w:rPr>
              <w:t>₹12,000 — ₹24,000 per terminal</w:t>
            </w:r>
          </w:p>
        </w:tc>
        <w:tc>
          <w:tcPr>
            <w:tcW w:type="dxa" w:w="2509"/>
            <w:tcMar>
              <w:top w:w="35" w:type="dxa"/>
              <w:bottom w:w="35" w:type="dxa"/>
              <w:left w:w="55" w:type="dxa"/>
              <w:right w:w="55" w:type="dxa"/>
            </w:tcMar>
          </w:tcPr>
          <w:p>
            <w:r>
              <w:rPr>
                <w:rFonts w:ascii="Arial" w:hAnsi="Arial"/>
                <w:b/>
                <w:color w:val="000000"/>
                <w:sz w:val="17"/>
              </w:rPr>
              <w:t>₹1,000 total investment</w:t>
            </w:r>
          </w:p>
        </w:tc>
        <w:tc>
          <w:tcPr>
            <w:tcW w:type="dxa" w:w="2509"/>
            <w:tcMar>
              <w:top w:w="35" w:type="dxa"/>
              <w:bottom w:w="35" w:type="dxa"/>
              <w:left w:w="55" w:type="dxa"/>
              <w:right w:w="55" w:type="dxa"/>
            </w:tcMar>
          </w:tcPr>
          <w:p>
            <w:r>
              <w:rPr>
                <w:rFonts w:ascii="Arial" w:hAnsi="Arial"/>
                <w:b/>
                <w:color w:val="000000"/>
                <w:sz w:val="17"/>
              </w:rPr>
              <w:t>92%–96% Cost Savings</w:t>
            </w:r>
          </w:p>
        </w:tc>
      </w:tr>
      <w:tr>
        <w:tc>
          <w:tcPr>
            <w:tcW w:type="dxa" w:w="2509"/>
            <w:tcMar>
              <w:top w:w="35" w:type="dxa"/>
              <w:bottom w:w="35" w:type="dxa"/>
              <w:left w:w="55" w:type="dxa"/>
              <w:right w:w="55" w:type="dxa"/>
            </w:tcMar>
          </w:tcPr>
          <w:p>
            <w:r>
              <w:rPr>
                <w:rFonts w:ascii="Arial" w:hAnsi="Arial"/>
                <w:color w:val="000000"/>
                <w:sz w:val="17"/>
              </w:rPr>
              <w:t>Software / Cloud AMC</w:t>
            </w:r>
          </w:p>
        </w:tc>
        <w:tc>
          <w:tcPr>
            <w:tcW w:type="dxa" w:w="2509"/>
            <w:tcMar>
              <w:top w:w="35" w:type="dxa"/>
              <w:bottom w:w="35" w:type="dxa"/>
              <w:left w:w="55" w:type="dxa"/>
              <w:right w:w="55" w:type="dxa"/>
            </w:tcMar>
          </w:tcPr>
          <w:p>
            <w:r>
              <w:rPr>
                <w:rFonts w:ascii="Arial" w:hAnsi="Arial"/>
                <w:color w:val="000000"/>
                <w:sz w:val="17"/>
              </w:rPr>
              <w:t>₹3,500 — ₹8,000 / year recurring fee</w:t>
            </w:r>
          </w:p>
        </w:tc>
        <w:tc>
          <w:tcPr>
            <w:tcW w:type="dxa" w:w="2509"/>
            <w:tcMar>
              <w:top w:w="35" w:type="dxa"/>
              <w:bottom w:w="35" w:type="dxa"/>
              <w:left w:w="55" w:type="dxa"/>
              <w:right w:w="55" w:type="dxa"/>
            </w:tcMar>
          </w:tcPr>
          <w:p>
            <w:r>
              <w:rPr>
                <w:rFonts w:ascii="Arial" w:hAnsi="Arial"/>
                <w:b/>
                <w:color w:val="000000"/>
                <w:sz w:val="17"/>
              </w:rPr>
              <w:t>₹0.00 (Zero Recurring Charges)</w:t>
            </w:r>
          </w:p>
        </w:tc>
        <w:tc>
          <w:tcPr>
            <w:tcW w:type="dxa" w:w="2509"/>
            <w:tcMar>
              <w:top w:w="35" w:type="dxa"/>
              <w:bottom w:w="35" w:type="dxa"/>
              <w:left w:w="55" w:type="dxa"/>
              <w:right w:w="55" w:type="dxa"/>
            </w:tcMar>
          </w:tcPr>
          <w:p>
            <w:r>
              <w:rPr>
                <w:rFonts w:ascii="Arial" w:hAnsi="Arial"/>
                <w:b/>
                <w:color w:val="000000"/>
                <w:sz w:val="17"/>
              </w:rPr>
              <w:t>100% Free Lifetime Use</w:t>
            </w:r>
          </w:p>
        </w:tc>
      </w:tr>
      <w:tr>
        <w:tc>
          <w:tcPr>
            <w:tcW w:type="dxa" w:w="2509"/>
            <w:tcMar>
              <w:top w:w="35" w:type="dxa"/>
              <w:bottom w:w="35" w:type="dxa"/>
              <w:left w:w="55" w:type="dxa"/>
              <w:right w:w="55" w:type="dxa"/>
            </w:tcMar>
          </w:tcPr>
          <w:p>
            <w:r>
              <w:rPr>
                <w:rFonts w:ascii="Arial" w:hAnsi="Arial"/>
                <w:color w:val="000000"/>
                <w:sz w:val="17"/>
              </w:rPr>
              <w:t>Database Architecture</w:t>
            </w:r>
          </w:p>
        </w:tc>
        <w:tc>
          <w:tcPr>
            <w:tcW w:type="dxa" w:w="2509"/>
            <w:tcMar>
              <w:top w:w="35" w:type="dxa"/>
              <w:bottom w:w="35" w:type="dxa"/>
              <w:left w:w="55" w:type="dxa"/>
              <w:right w:w="55" w:type="dxa"/>
            </w:tcMar>
          </w:tcPr>
          <w:p>
            <w:r>
              <w:rPr>
                <w:rFonts w:ascii="Arial" w:hAnsi="Arial"/>
                <w:color w:val="000000"/>
                <w:sz w:val="17"/>
              </w:rPr>
              <w:t>Proprietary desktop SQL database</w:t>
            </w:r>
          </w:p>
        </w:tc>
        <w:tc>
          <w:tcPr>
            <w:tcW w:type="dxa" w:w="2509"/>
            <w:tcMar>
              <w:top w:w="35" w:type="dxa"/>
              <w:bottom w:w="35" w:type="dxa"/>
              <w:left w:w="55" w:type="dxa"/>
              <w:right w:w="55" w:type="dxa"/>
            </w:tcMar>
          </w:tcPr>
          <w:p>
            <w:r>
              <w:rPr>
                <w:rFonts w:ascii="Arial" w:hAnsi="Arial"/>
                <w:b/>
                <w:color w:val="000000"/>
                <w:sz w:val="17"/>
              </w:rPr>
              <w:t>Supabase PostgreSQL REST API</w:t>
            </w:r>
          </w:p>
        </w:tc>
        <w:tc>
          <w:tcPr>
            <w:tcW w:type="dxa" w:w="2509"/>
            <w:tcMar>
              <w:top w:w="35" w:type="dxa"/>
              <w:bottom w:w="35" w:type="dxa"/>
              <w:left w:w="55" w:type="dxa"/>
              <w:right w:w="55" w:type="dxa"/>
            </w:tcMar>
          </w:tcPr>
          <w:p>
            <w:r>
              <w:rPr>
                <w:rFonts w:ascii="Arial" w:hAnsi="Arial"/>
                <w:b/>
                <w:color w:val="000000"/>
                <w:sz w:val="17"/>
              </w:rPr>
              <w:t>Open standard schema</w:t>
            </w:r>
          </w:p>
        </w:tc>
      </w:tr>
      <w:tr>
        <w:tc>
          <w:tcPr>
            <w:tcW w:type="dxa" w:w="2509"/>
            <w:tcMar>
              <w:top w:w="35" w:type="dxa"/>
              <w:bottom w:w="35" w:type="dxa"/>
              <w:left w:w="55" w:type="dxa"/>
              <w:right w:w="55" w:type="dxa"/>
            </w:tcMar>
          </w:tcPr>
          <w:p>
            <w:r>
              <w:rPr>
                <w:rFonts w:ascii="Arial" w:hAnsi="Arial"/>
                <w:color w:val="000000"/>
                <w:sz w:val="17"/>
              </w:rPr>
              <w:t>Access Modality</w:t>
            </w:r>
          </w:p>
        </w:tc>
        <w:tc>
          <w:tcPr>
            <w:tcW w:type="dxa" w:w="2509"/>
            <w:tcMar>
              <w:top w:w="35" w:type="dxa"/>
              <w:bottom w:w="35" w:type="dxa"/>
              <w:left w:w="55" w:type="dxa"/>
              <w:right w:w="55" w:type="dxa"/>
            </w:tcMar>
          </w:tcPr>
          <w:p>
            <w:r>
              <w:rPr>
                <w:rFonts w:ascii="Arial" w:hAnsi="Arial"/>
                <w:color w:val="000000"/>
                <w:sz w:val="17"/>
              </w:rPr>
              <w:t>Restricted to administrative PC terminal</w:t>
            </w:r>
          </w:p>
        </w:tc>
        <w:tc>
          <w:tcPr>
            <w:tcW w:type="dxa" w:w="2509"/>
            <w:tcMar>
              <w:top w:w="35" w:type="dxa"/>
              <w:bottom w:w="35" w:type="dxa"/>
              <w:left w:w="55" w:type="dxa"/>
              <w:right w:w="55" w:type="dxa"/>
            </w:tcMar>
          </w:tcPr>
          <w:p>
            <w:r>
              <w:rPr>
                <w:rFonts w:ascii="Arial" w:hAnsi="Arial"/>
                <w:b/>
                <w:color w:val="000000"/>
                <w:sz w:val="17"/>
              </w:rPr>
              <w:t>Universal Web Portal (Mobile &amp; PC)</w:t>
            </w:r>
          </w:p>
        </w:tc>
        <w:tc>
          <w:tcPr>
            <w:tcW w:type="dxa" w:w="2509"/>
            <w:tcMar>
              <w:top w:w="35" w:type="dxa"/>
              <w:bottom w:w="35" w:type="dxa"/>
              <w:left w:w="55" w:type="dxa"/>
              <w:right w:w="55" w:type="dxa"/>
            </w:tcMar>
          </w:tcPr>
          <w:p>
            <w:r>
              <w:rPr>
                <w:rFonts w:ascii="Arial" w:hAnsi="Arial"/>
                <w:b/>
                <w:color w:val="000000"/>
                <w:sz w:val="17"/>
              </w:rPr>
              <w:t>Zero install required</w:t>
            </w:r>
          </w:p>
        </w:tc>
      </w:tr>
      <w:tr>
        <w:tc>
          <w:tcPr>
            <w:tcW w:type="dxa" w:w="2509"/>
            <w:tcMar>
              <w:top w:w="35" w:type="dxa"/>
              <w:bottom w:w="35" w:type="dxa"/>
              <w:left w:w="55" w:type="dxa"/>
              <w:right w:w="55" w:type="dxa"/>
            </w:tcMar>
          </w:tcPr>
          <w:p>
            <w:r>
              <w:rPr>
                <w:rFonts w:ascii="Arial" w:hAnsi="Arial"/>
                <w:color w:val="000000"/>
                <w:sz w:val="17"/>
              </w:rPr>
              <w:t>Sync Telemetry Latency</w:t>
            </w:r>
          </w:p>
        </w:tc>
        <w:tc>
          <w:tcPr>
            <w:tcW w:type="dxa" w:w="2509"/>
            <w:tcMar>
              <w:top w:w="35" w:type="dxa"/>
              <w:bottom w:w="35" w:type="dxa"/>
              <w:left w:w="55" w:type="dxa"/>
              <w:right w:w="55" w:type="dxa"/>
            </w:tcMar>
          </w:tcPr>
          <w:p>
            <w:r>
              <w:rPr>
                <w:rFonts w:ascii="Arial" w:hAnsi="Arial"/>
                <w:color w:val="000000"/>
                <w:sz w:val="17"/>
              </w:rPr>
              <w:t>Batch sync (every 15 to 60 minutes)</w:t>
            </w:r>
          </w:p>
        </w:tc>
        <w:tc>
          <w:tcPr>
            <w:tcW w:type="dxa" w:w="2509"/>
            <w:tcMar>
              <w:top w:w="35" w:type="dxa"/>
              <w:bottom w:w="35" w:type="dxa"/>
              <w:left w:w="55" w:type="dxa"/>
              <w:right w:w="55" w:type="dxa"/>
            </w:tcMar>
          </w:tcPr>
          <w:p>
            <w:r>
              <w:rPr>
                <w:rFonts w:ascii="Arial" w:hAnsi="Arial"/>
                <w:b/>
                <w:color w:val="000000"/>
                <w:sz w:val="17"/>
              </w:rPr>
              <w:t>Instantaneous Stream (&lt;350ms)</w:t>
            </w:r>
          </w:p>
        </w:tc>
        <w:tc>
          <w:tcPr>
            <w:tcW w:type="dxa" w:w="2509"/>
            <w:tcMar>
              <w:top w:w="35" w:type="dxa"/>
              <w:bottom w:w="35" w:type="dxa"/>
              <w:left w:w="55" w:type="dxa"/>
              <w:right w:w="55" w:type="dxa"/>
            </w:tcMar>
          </w:tcPr>
          <w:p>
            <w:r>
              <w:rPr>
                <w:rFonts w:ascii="Arial" w:hAnsi="Arial"/>
                <w:b/>
                <w:color w:val="000000"/>
                <w:sz w:val="17"/>
              </w:rPr>
              <w:t>Immediate verification</w:t>
            </w:r>
          </w:p>
        </w:tc>
      </w:tr>
      <w:tr>
        <w:tc>
          <w:tcPr>
            <w:tcW w:type="dxa" w:w="2509"/>
            <w:tcMar>
              <w:top w:w="35" w:type="dxa"/>
              <w:bottom w:w="35" w:type="dxa"/>
              <w:left w:w="55" w:type="dxa"/>
              <w:right w:w="55" w:type="dxa"/>
            </w:tcMar>
          </w:tcPr>
          <w:p>
            <w:r>
              <w:rPr>
                <w:rFonts w:ascii="Arial" w:hAnsi="Arial"/>
                <w:color w:val="000000"/>
                <w:sz w:val="17"/>
              </w:rPr>
              <w:t>Student Verification Alerts</w:t>
            </w:r>
          </w:p>
        </w:tc>
        <w:tc>
          <w:tcPr>
            <w:tcW w:type="dxa" w:w="2509"/>
            <w:tcMar>
              <w:top w:w="35" w:type="dxa"/>
              <w:bottom w:w="35" w:type="dxa"/>
              <w:left w:w="55" w:type="dxa"/>
              <w:right w:w="55" w:type="dxa"/>
            </w:tcMar>
          </w:tcPr>
          <w:p>
            <w:r>
              <w:rPr>
                <w:rFonts w:ascii="Arial" w:hAnsi="Arial"/>
                <w:color w:val="000000"/>
                <w:sz w:val="17"/>
              </w:rPr>
              <w:t>Requires paid SMS gateway bundles</w:t>
            </w:r>
          </w:p>
        </w:tc>
        <w:tc>
          <w:tcPr>
            <w:tcW w:type="dxa" w:w="2509"/>
            <w:tcMar>
              <w:top w:w="35" w:type="dxa"/>
              <w:bottom w:w="35" w:type="dxa"/>
              <w:left w:w="55" w:type="dxa"/>
              <w:right w:w="55" w:type="dxa"/>
            </w:tcMar>
          </w:tcPr>
          <w:p>
            <w:r>
              <w:rPr>
                <w:rFonts w:ascii="Arial" w:hAnsi="Arial"/>
                <w:b/>
                <w:color w:val="000000"/>
                <w:sz w:val="17"/>
              </w:rPr>
              <w:t>Native Instant Web Notifications</w:t>
            </w:r>
          </w:p>
        </w:tc>
        <w:tc>
          <w:tcPr>
            <w:tcW w:type="dxa" w:w="2509"/>
            <w:tcMar>
              <w:top w:w="35" w:type="dxa"/>
              <w:bottom w:w="35" w:type="dxa"/>
              <w:left w:w="55" w:type="dxa"/>
              <w:right w:w="55" w:type="dxa"/>
            </w:tcMar>
          </w:tcPr>
          <w:p>
            <w:r>
              <w:rPr>
                <w:rFonts w:ascii="Arial" w:hAnsi="Arial"/>
                <w:b/>
                <w:color w:val="000000"/>
                <w:sz w:val="17"/>
              </w:rPr>
              <w:t>Zero operating expense</w:t>
            </w:r>
          </w:p>
        </w:tc>
      </w:tr>
      <w:tr>
        <w:tc>
          <w:tcPr>
            <w:tcW w:type="dxa" w:w="2509"/>
            <w:tcMar>
              <w:top w:w="35" w:type="dxa"/>
              <w:bottom w:w="35" w:type="dxa"/>
              <w:left w:w="55" w:type="dxa"/>
              <w:right w:w="55" w:type="dxa"/>
            </w:tcMar>
          </w:tcPr>
          <w:p>
            <w:r>
              <w:rPr>
                <w:rFonts w:ascii="Arial" w:hAnsi="Arial"/>
                <w:color w:val="000000"/>
                <w:sz w:val="17"/>
              </w:rPr>
              <w:t>Firmware &amp; Extensibility</w:t>
            </w:r>
          </w:p>
        </w:tc>
        <w:tc>
          <w:tcPr>
            <w:tcW w:type="dxa" w:w="2509"/>
            <w:tcMar>
              <w:top w:w="35" w:type="dxa"/>
              <w:bottom w:w="35" w:type="dxa"/>
              <w:left w:w="55" w:type="dxa"/>
              <w:right w:w="55" w:type="dxa"/>
            </w:tcMar>
          </w:tcPr>
          <w:p>
            <w:r>
              <w:rPr>
                <w:rFonts w:ascii="Arial" w:hAnsi="Arial"/>
                <w:color w:val="000000"/>
                <w:sz w:val="17"/>
              </w:rPr>
              <w:t>Closed-source locked binary firmware</w:t>
            </w:r>
          </w:p>
        </w:tc>
        <w:tc>
          <w:tcPr>
            <w:tcW w:type="dxa" w:w="2509"/>
            <w:tcMar>
              <w:top w:w="35" w:type="dxa"/>
              <w:bottom w:w="35" w:type="dxa"/>
              <w:left w:w="55" w:type="dxa"/>
              <w:right w:w="55" w:type="dxa"/>
            </w:tcMar>
          </w:tcPr>
          <w:p>
            <w:r>
              <w:rPr>
                <w:rFonts w:ascii="Arial" w:hAnsi="Arial"/>
                <w:b/>
                <w:color w:val="000000"/>
                <w:sz w:val="17"/>
              </w:rPr>
              <w:t>Open ESP32 C++ Firmware Stack</w:t>
            </w:r>
          </w:p>
        </w:tc>
        <w:tc>
          <w:tcPr>
            <w:tcW w:type="dxa" w:w="2509"/>
            <w:tcMar>
              <w:top w:w="35" w:type="dxa"/>
              <w:bottom w:w="35" w:type="dxa"/>
              <w:left w:w="55" w:type="dxa"/>
              <w:right w:w="55" w:type="dxa"/>
            </w:tcMar>
          </w:tcPr>
          <w:p>
            <w:r>
              <w:rPr>
                <w:rFonts w:ascii="Arial" w:hAnsi="Arial"/>
                <w:b/>
                <w:color w:val="000000"/>
                <w:sz w:val="17"/>
              </w:rPr>
              <w:t>Fully customizable</w:t>
            </w:r>
          </w:p>
        </w:tc>
      </w:tr>
      <w:tr>
        <w:tc>
          <w:tcPr>
            <w:tcW w:type="dxa" w:w="2509"/>
            <w:tcMar>
              <w:top w:w="35" w:type="dxa"/>
              <w:bottom w:w="35" w:type="dxa"/>
              <w:left w:w="55" w:type="dxa"/>
              <w:right w:w="55" w:type="dxa"/>
            </w:tcMar>
          </w:tcPr>
          <w:p>
            <w:r>
              <w:rPr>
                <w:rFonts w:ascii="Arial" w:hAnsi="Arial"/>
                <w:color w:val="000000"/>
                <w:sz w:val="17"/>
              </w:rPr>
              <w:t>Curriculum Alignment</w:t>
            </w:r>
          </w:p>
        </w:tc>
        <w:tc>
          <w:tcPr>
            <w:tcW w:type="dxa" w:w="2509"/>
            <w:tcMar>
              <w:top w:w="35" w:type="dxa"/>
              <w:bottom w:w="35" w:type="dxa"/>
              <w:left w:w="55" w:type="dxa"/>
              <w:right w:w="55" w:type="dxa"/>
            </w:tcMar>
          </w:tcPr>
          <w:p>
            <w:r>
              <w:rPr>
                <w:rFonts w:ascii="Arial" w:hAnsi="Arial"/>
                <w:color w:val="000000"/>
                <w:sz w:val="17"/>
              </w:rPr>
              <w:t>Proprietary black-box appliance</w:t>
            </w:r>
          </w:p>
        </w:tc>
        <w:tc>
          <w:tcPr>
            <w:tcW w:type="dxa" w:w="2509"/>
            <w:tcMar>
              <w:top w:w="35" w:type="dxa"/>
              <w:bottom w:w="35" w:type="dxa"/>
              <w:left w:w="55" w:type="dxa"/>
              <w:right w:w="55" w:type="dxa"/>
            </w:tcMar>
          </w:tcPr>
          <w:p>
            <w:r>
              <w:rPr>
                <w:rFonts w:ascii="Arial" w:hAnsi="Arial"/>
                <w:b/>
                <w:color w:val="000000"/>
                <w:sz w:val="17"/>
              </w:rPr>
              <w:t>100% NEP 2020 Hands-On Alignment</w:t>
            </w:r>
          </w:p>
        </w:tc>
        <w:tc>
          <w:tcPr>
            <w:tcW w:type="dxa" w:w="2509"/>
            <w:tcMar>
              <w:top w:w="35" w:type="dxa"/>
              <w:bottom w:w="35" w:type="dxa"/>
              <w:left w:w="55" w:type="dxa"/>
              <w:right w:w="55" w:type="dxa"/>
            </w:tcMar>
          </w:tcPr>
          <w:p>
            <w:r>
              <w:rPr>
                <w:rFonts w:ascii="Arial" w:hAnsi="Arial"/>
                <w:b/>
                <w:color w:val="000000"/>
                <w:sz w:val="17"/>
              </w:rPr>
              <w:t>Transparent pedagogy</w:t>
            </w:r>
          </w:p>
        </w:tc>
      </w:tr>
    </w:tbl>
    <w:p>
      <w:pPr>
        <w:spacing w:after="100" w:line="288" w:lineRule="auto"/>
      </w:pPr>
      <w:r>
        <w:rPr>
          <w:rFonts w:ascii="Arial" w:hAnsi="Arial"/>
          <w:color w:val="000000"/>
          <w:sz w:val="20"/>
        </w:rPr>
        <w:t>Deploying this system across 10 institutional laboratories saves an institution over ₹1,80,000 in upfront hardware costs and over ₹40,000 each year in recurring maintenance fees, while ensuring that all student records remain completely private and under college control.</w:t>
      </w:r>
    </w:p>
    <w:p>
      <w:pPr>
        <w:jc w:val="right"/>
      </w:pPr>
      <w:r>
        <w:rPr>
          <w:rFonts w:ascii="Arial" w:hAnsi="Arial"/>
          <w:b/>
          <w:color w:val="000000"/>
          <w:sz w:val="16"/>
        </w:rPr>
        <w:t>PBCOE Department of Electronics &amp; Telecommunication Engineering | Embedded Systems | Activity - 2 | Page 2 of 6</w:t>
      </w:r>
    </w:p>
    <w:p>
      <w:r>
        <w:br w:type="page"/>
      </w:r>
    </w:p>
    <w:p>
      <w:pPr>
        <w:spacing w:after="120"/>
        <w:jc w:val="right"/>
      </w:pPr>
      <w:r>
        <w:rPr>
          <w:rFonts w:ascii="Arial" w:hAnsi="Arial"/>
          <w:b/>
          <w:color w:val="000000"/>
          <w:sz w:val="17"/>
        </w:rPr>
        <w:t>ACTIVITY - 2 // EMBEDDED SYSTEMS (ET501T / ET503P) — PBCOE ETC DEPARTMENT</w:t>
      </w:r>
    </w:p>
    <w:p>
      <w:pPr>
        <w:spacing w:before="140" w:after="60"/>
      </w:pPr>
      <w:r>
        <w:rPr>
          <w:rFonts w:ascii="Arial" w:hAnsi="Arial"/>
          <w:b/>
          <w:color w:val="000000"/>
          <w:sz w:val="23"/>
        </w:rPr>
        <w:t>5. CIRCUIT INTERFACING, PINOUT MAPPING &amp; SERIAL COMMUNICATION</w:t>
      </w:r>
    </w:p>
    <w:p>
      <w:pPr>
        <w:spacing w:after="100" w:line="288" w:lineRule="auto"/>
      </w:pPr>
      <w:r>
        <w:rPr>
          <w:rFonts w:ascii="Arial" w:hAnsi="Arial"/>
          <w:color w:val="000000"/>
          <w:sz w:val="20"/>
        </w:rPr>
        <w:t>The ESP32 microcontroller communicates directly with the R307 optical fingerprint scanner using Hardware Serial UART2. Digital pin GPIO16 receives data from the sensor (RX2), and GPIO17 transmits commands to the sensor (TX2). The piezo buzzer is driven by digital pin GPIO4:</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007"/>
        <w:gridCol w:w="2007"/>
        <w:gridCol w:w="2007"/>
        <w:gridCol w:w="2007"/>
        <w:gridCol w:w="2007"/>
      </w:tblGrid>
      <w:tr>
        <w:tc>
          <w:tcPr>
            <w:tcW w:type="dxa" w:w="2007"/>
            <w:tcMar>
              <w:top w:w="35" w:type="dxa"/>
              <w:bottom w:w="35" w:type="dxa"/>
              <w:left w:w="55" w:type="dxa"/>
              <w:right w:w="55" w:type="dxa"/>
            </w:tcMar>
            <w:shd w:fill="000000"/>
          </w:tcPr>
          <w:p>
            <w:r>
              <w:rPr>
                <w:rFonts w:ascii="Arial" w:hAnsi="Arial"/>
                <w:b/>
                <w:color w:val="FFFFFF"/>
                <w:sz w:val="17"/>
              </w:rPr>
              <w:t>Source Device</w:t>
            </w:r>
          </w:p>
        </w:tc>
        <w:tc>
          <w:tcPr>
            <w:tcW w:type="dxa" w:w="2007"/>
            <w:tcMar>
              <w:top w:w="35" w:type="dxa"/>
              <w:bottom w:w="35" w:type="dxa"/>
              <w:left w:w="55" w:type="dxa"/>
              <w:right w:w="55" w:type="dxa"/>
            </w:tcMar>
            <w:shd w:fill="000000"/>
          </w:tcPr>
          <w:p>
            <w:r>
              <w:rPr>
                <w:rFonts w:ascii="Arial" w:hAnsi="Arial"/>
                <w:b/>
                <w:color w:val="FFFFFF"/>
                <w:sz w:val="17"/>
              </w:rPr>
              <w:t>Module Pin / Color</w:t>
            </w:r>
          </w:p>
        </w:tc>
        <w:tc>
          <w:tcPr>
            <w:tcW w:type="dxa" w:w="2007"/>
            <w:tcMar>
              <w:top w:w="35" w:type="dxa"/>
              <w:bottom w:w="35" w:type="dxa"/>
              <w:left w:w="55" w:type="dxa"/>
              <w:right w:w="55" w:type="dxa"/>
            </w:tcMar>
            <w:shd w:fill="000000"/>
          </w:tcPr>
          <w:p>
            <w:r>
              <w:rPr>
                <w:rFonts w:ascii="Arial" w:hAnsi="Arial"/>
                <w:b/>
                <w:color w:val="FFFFFF"/>
                <w:sz w:val="17"/>
              </w:rPr>
              <w:t>Target ESP32 Pin</w:t>
            </w:r>
          </w:p>
        </w:tc>
        <w:tc>
          <w:tcPr>
            <w:tcW w:type="dxa" w:w="2007"/>
            <w:tcMar>
              <w:top w:w="35" w:type="dxa"/>
              <w:bottom w:w="35" w:type="dxa"/>
              <w:left w:w="55" w:type="dxa"/>
              <w:right w:w="55" w:type="dxa"/>
            </w:tcMar>
            <w:shd w:fill="000000"/>
          </w:tcPr>
          <w:p>
            <w:r>
              <w:rPr>
                <w:rFonts w:ascii="Arial" w:hAnsi="Arial"/>
                <w:b/>
                <w:color w:val="FFFFFF"/>
                <w:sz w:val="17"/>
              </w:rPr>
              <w:t>Signal Description</w:t>
            </w:r>
          </w:p>
        </w:tc>
        <w:tc>
          <w:tcPr>
            <w:tcW w:type="dxa" w:w="2007"/>
            <w:tcMar>
              <w:top w:w="35" w:type="dxa"/>
              <w:bottom w:w="35" w:type="dxa"/>
              <w:left w:w="55" w:type="dxa"/>
              <w:right w:w="55" w:type="dxa"/>
            </w:tcMar>
            <w:shd w:fill="000000"/>
          </w:tcPr>
          <w:p>
            <w:r>
              <w:rPr>
                <w:rFonts w:ascii="Arial" w:hAnsi="Arial"/>
                <w:b/>
                <w:color w:val="FFFFFF"/>
                <w:sz w:val="17"/>
              </w:rPr>
              <w:t>Electrical Rating</w:t>
            </w:r>
          </w:p>
        </w:tc>
      </w:tr>
      <w:tr>
        <w:tc>
          <w:tcPr>
            <w:tcW w:type="dxa" w:w="2007"/>
            <w:tcMar>
              <w:top w:w="35" w:type="dxa"/>
              <w:bottom w:w="35" w:type="dxa"/>
              <w:left w:w="55" w:type="dxa"/>
              <w:right w:w="55" w:type="dxa"/>
            </w:tcMar>
          </w:tcPr>
          <w:p>
            <w:r>
              <w:rPr>
                <w:rFonts w:ascii="Arial" w:hAnsi="Arial"/>
                <w:color w:val="000000"/>
                <w:sz w:val="17"/>
              </w:rPr>
              <w:t>R307 Optical Sensor</w:t>
            </w:r>
          </w:p>
        </w:tc>
        <w:tc>
          <w:tcPr>
            <w:tcW w:type="dxa" w:w="2007"/>
            <w:tcMar>
              <w:top w:w="35" w:type="dxa"/>
              <w:bottom w:w="35" w:type="dxa"/>
              <w:left w:w="55" w:type="dxa"/>
              <w:right w:w="55" w:type="dxa"/>
            </w:tcMar>
          </w:tcPr>
          <w:p>
            <w:r>
              <w:rPr>
                <w:rFonts w:ascii="Arial" w:hAnsi="Arial"/>
                <w:color w:val="000000"/>
                <w:sz w:val="17"/>
              </w:rPr>
              <w:t>Pin 1 (Red Wire)</w:t>
            </w:r>
          </w:p>
        </w:tc>
        <w:tc>
          <w:tcPr>
            <w:tcW w:type="dxa" w:w="2007"/>
            <w:tcMar>
              <w:top w:w="35" w:type="dxa"/>
              <w:bottom w:w="35" w:type="dxa"/>
              <w:left w:w="55" w:type="dxa"/>
              <w:right w:w="55" w:type="dxa"/>
            </w:tcMar>
          </w:tcPr>
          <w:p>
            <w:r>
              <w:rPr>
                <w:rFonts w:ascii="Arial" w:hAnsi="Arial"/>
                <w:b/>
                <w:color w:val="000000"/>
                <w:sz w:val="17"/>
              </w:rPr>
              <w:t>VIN (5V Rail)</w:t>
            </w:r>
          </w:p>
        </w:tc>
        <w:tc>
          <w:tcPr>
            <w:tcW w:type="dxa" w:w="2007"/>
            <w:tcMar>
              <w:top w:w="35" w:type="dxa"/>
              <w:bottom w:w="35" w:type="dxa"/>
              <w:left w:w="55" w:type="dxa"/>
              <w:right w:w="55" w:type="dxa"/>
            </w:tcMar>
          </w:tcPr>
          <w:p>
            <w:r>
              <w:rPr>
                <w:rFonts w:ascii="Arial" w:hAnsi="Arial"/>
                <w:color w:val="000000"/>
                <w:sz w:val="17"/>
              </w:rPr>
              <w:t>DC Sensor Main Power</w:t>
            </w:r>
          </w:p>
        </w:tc>
        <w:tc>
          <w:tcPr>
            <w:tcW w:type="dxa" w:w="2007"/>
            <w:tcMar>
              <w:top w:w="35" w:type="dxa"/>
              <w:bottom w:w="35" w:type="dxa"/>
              <w:left w:w="55" w:type="dxa"/>
              <w:right w:w="55" w:type="dxa"/>
            </w:tcMar>
          </w:tcPr>
          <w:p>
            <w:r>
              <w:rPr>
                <w:rFonts w:ascii="Arial" w:hAnsi="Arial"/>
                <w:color w:val="000000"/>
                <w:sz w:val="17"/>
              </w:rPr>
              <w:t>5V DC (120mA Peak)</w:t>
            </w:r>
          </w:p>
        </w:tc>
      </w:tr>
      <w:tr>
        <w:tc>
          <w:tcPr>
            <w:tcW w:type="dxa" w:w="2007"/>
            <w:tcMar>
              <w:top w:w="35" w:type="dxa"/>
              <w:bottom w:w="35" w:type="dxa"/>
              <w:left w:w="55" w:type="dxa"/>
              <w:right w:w="55" w:type="dxa"/>
            </w:tcMar>
          </w:tcPr>
          <w:p>
            <w:r>
              <w:rPr>
                <w:rFonts w:ascii="Arial" w:hAnsi="Arial"/>
                <w:color w:val="000000"/>
                <w:sz w:val="17"/>
              </w:rPr>
              <w:t>R307 Optical Sensor</w:t>
            </w:r>
          </w:p>
        </w:tc>
        <w:tc>
          <w:tcPr>
            <w:tcW w:type="dxa" w:w="2007"/>
            <w:tcMar>
              <w:top w:w="35" w:type="dxa"/>
              <w:bottom w:w="35" w:type="dxa"/>
              <w:left w:w="55" w:type="dxa"/>
              <w:right w:w="55" w:type="dxa"/>
            </w:tcMar>
          </w:tcPr>
          <w:p>
            <w:r>
              <w:rPr>
                <w:rFonts w:ascii="Arial" w:hAnsi="Arial"/>
                <w:color w:val="000000"/>
                <w:sz w:val="17"/>
              </w:rPr>
              <w:t>Pin 2 (Black Wire)</w:t>
            </w:r>
          </w:p>
        </w:tc>
        <w:tc>
          <w:tcPr>
            <w:tcW w:type="dxa" w:w="2007"/>
            <w:tcMar>
              <w:top w:w="35" w:type="dxa"/>
              <w:bottom w:w="35" w:type="dxa"/>
              <w:left w:w="55" w:type="dxa"/>
              <w:right w:w="55" w:type="dxa"/>
            </w:tcMar>
          </w:tcPr>
          <w:p>
            <w:r>
              <w:rPr>
                <w:rFonts w:ascii="Arial" w:hAnsi="Arial"/>
                <w:b/>
                <w:color w:val="000000"/>
                <w:sz w:val="17"/>
              </w:rPr>
              <w:t>GND Rail</w:t>
            </w:r>
          </w:p>
        </w:tc>
        <w:tc>
          <w:tcPr>
            <w:tcW w:type="dxa" w:w="2007"/>
            <w:tcMar>
              <w:top w:w="35" w:type="dxa"/>
              <w:bottom w:w="35" w:type="dxa"/>
              <w:left w:w="55" w:type="dxa"/>
              <w:right w:w="55" w:type="dxa"/>
            </w:tcMar>
          </w:tcPr>
          <w:p>
            <w:r>
              <w:rPr>
                <w:rFonts w:ascii="Arial" w:hAnsi="Arial"/>
                <w:color w:val="000000"/>
                <w:sz w:val="17"/>
              </w:rPr>
              <w:t>Common System Ground</w:t>
            </w:r>
          </w:p>
        </w:tc>
        <w:tc>
          <w:tcPr>
            <w:tcW w:type="dxa" w:w="2007"/>
            <w:tcMar>
              <w:top w:w="35" w:type="dxa"/>
              <w:bottom w:w="35" w:type="dxa"/>
              <w:left w:w="55" w:type="dxa"/>
              <w:right w:w="55" w:type="dxa"/>
            </w:tcMar>
          </w:tcPr>
          <w:p>
            <w:r>
              <w:rPr>
                <w:rFonts w:ascii="Arial" w:hAnsi="Arial"/>
                <w:color w:val="000000"/>
                <w:sz w:val="17"/>
              </w:rPr>
              <w:t>0V DC Reference</w:t>
            </w:r>
          </w:p>
        </w:tc>
      </w:tr>
      <w:tr>
        <w:tc>
          <w:tcPr>
            <w:tcW w:type="dxa" w:w="2007"/>
            <w:tcMar>
              <w:top w:w="35" w:type="dxa"/>
              <w:bottom w:w="35" w:type="dxa"/>
              <w:left w:w="55" w:type="dxa"/>
              <w:right w:w="55" w:type="dxa"/>
            </w:tcMar>
          </w:tcPr>
          <w:p>
            <w:r>
              <w:rPr>
                <w:rFonts w:ascii="Arial" w:hAnsi="Arial"/>
                <w:color w:val="000000"/>
                <w:sz w:val="17"/>
              </w:rPr>
              <w:t>R307 Optical Sensor</w:t>
            </w:r>
          </w:p>
        </w:tc>
        <w:tc>
          <w:tcPr>
            <w:tcW w:type="dxa" w:w="2007"/>
            <w:tcMar>
              <w:top w:w="35" w:type="dxa"/>
              <w:bottom w:w="35" w:type="dxa"/>
              <w:left w:w="55" w:type="dxa"/>
              <w:right w:w="55" w:type="dxa"/>
            </w:tcMar>
          </w:tcPr>
          <w:p>
            <w:r>
              <w:rPr>
                <w:rFonts w:ascii="Arial" w:hAnsi="Arial"/>
                <w:color w:val="000000"/>
                <w:sz w:val="17"/>
              </w:rPr>
              <w:t>Pin 3 (Yellow Wire)</w:t>
            </w:r>
          </w:p>
        </w:tc>
        <w:tc>
          <w:tcPr>
            <w:tcW w:type="dxa" w:w="2007"/>
            <w:tcMar>
              <w:top w:w="35" w:type="dxa"/>
              <w:bottom w:w="35" w:type="dxa"/>
              <w:left w:w="55" w:type="dxa"/>
              <w:right w:w="55" w:type="dxa"/>
            </w:tcMar>
          </w:tcPr>
          <w:p>
            <w:r>
              <w:rPr>
                <w:rFonts w:ascii="Arial" w:hAnsi="Arial"/>
                <w:b/>
                <w:color w:val="000000"/>
                <w:sz w:val="17"/>
              </w:rPr>
              <w:t>GPIO 16 (RX2)</w:t>
            </w:r>
          </w:p>
        </w:tc>
        <w:tc>
          <w:tcPr>
            <w:tcW w:type="dxa" w:w="2007"/>
            <w:tcMar>
              <w:top w:w="35" w:type="dxa"/>
              <w:bottom w:w="35" w:type="dxa"/>
              <w:left w:w="55" w:type="dxa"/>
              <w:right w:w="55" w:type="dxa"/>
            </w:tcMar>
          </w:tcPr>
          <w:p>
            <w:r>
              <w:rPr>
                <w:rFonts w:ascii="Arial" w:hAnsi="Arial"/>
                <w:color w:val="000000"/>
                <w:sz w:val="17"/>
              </w:rPr>
              <w:t>Sensor TX -&gt; ESP32 RX</w:t>
            </w:r>
          </w:p>
        </w:tc>
        <w:tc>
          <w:tcPr>
            <w:tcW w:type="dxa" w:w="2007"/>
            <w:tcMar>
              <w:top w:w="35" w:type="dxa"/>
              <w:bottom w:w="35" w:type="dxa"/>
              <w:left w:w="55" w:type="dxa"/>
              <w:right w:w="55" w:type="dxa"/>
            </w:tcMar>
          </w:tcPr>
          <w:p>
            <w:r>
              <w:rPr>
                <w:rFonts w:ascii="Arial" w:hAnsi="Arial"/>
                <w:color w:val="000000"/>
                <w:sz w:val="17"/>
              </w:rPr>
              <w:t>TTL 3.3V / 5V Logic</w:t>
            </w:r>
          </w:p>
        </w:tc>
      </w:tr>
      <w:tr>
        <w:tc>
          <w:tcPr>
            <w:tcW w:type="dxa" w:w="2007"/>
            <w:tcMar>
              <w:top w:w="35" w:type="dxa"/>
              <w:bottom w:w="35" w:type="dxa"/>
              <w:left w:w="55" w:type="dxa"/>
              <w:right w:w="55" w:type="dxa"/>
            </w:tcMar>
          </w:tcPr>
          <w:p>
            <w:r>
              <w:rPr>
                <w:rFonts w:ascii="Arial" w:hAnsi="Arial"/>
                <w:color w:val="000000"/>
                <w:sz w:val="17"/>
              </w:rPr>
              <w:t>R307 Optical Sensor</w:t>
            </w:r>
          </w:p>
        </w:tc>
        <w:tc>
          <w:tcPr>
            <w:tcW w:type="dxa" w:w="2007"/>
            <w:tcMar>
              <w:top w:w="35" w:type="dxa"/>
              <w:bottom w:w="35" w:type="dxa"/>
              <w:left w:w="55" w:type="dxa"/>
              <w:right w:w="55" w:type="dxa"/>
            </w:tcMar>
          </w:tcPr>
          <w:p>
            <w:r>
              <w:rPr>
                <w:rFonts w:ascii="Arial" w:hAnsi="Arial"/>
                <w:color w:val="000000"/>
                <w:sz w:val="17"/>
              </w:rPr>
              <w:t>Pin 4 (Green Wire)</w:t>
            </w:r>
          </w:p>
        </w:tc>
        <w:tc>
          <w:tcPr>
            <w:tcW w:type="dxa" w:w="2007"/>
            <w:tcMar>
              <w:top w:w="35" w:type="dxa"/>
              <w:bottom w:w="35" w:type="dxa"/>
              <w:left w:w="55" w:type="dxa"/>
              <w:right w:w="55" w:type="dxa"/>
            </w:tcMar>
          </w:tcPr>
          <w:p>
            <w:r>
              <w:rPr>
                <w:rFonts w:ascii="Arial" w:hAnsi="Arial"/>
                <w:b/>
                <w:color w:val="000000"/>
                <w:sz w:val="17"/>
              </w:rPr>
              <w:t>GPIO 17 (TX2)</w:t>
            </w:r>
          </w:p>
        </w:tc>
        <w:tc>
          <w:tcPr>
            <w:tcW w:type="dxa" w:w="2007"/>
            <w:tcMar>
              <w:top w:w="35" w:type="dxa"/>
              <w:bottom w:w="35" w:type="dxa"/>
              <w:left w:w="55" w:type="dxa"/>
              <w:right w:w="55" w:type="dxa"/>
            </w:tcMar>
          </w:tcPr>
          <w:p>
            <w:r>
              <w:rPr>
                <w:rFonts w:ascii="Arial" w:hAnsi="Arial"/>
                <w:color w:val="000000"/>
                <w:sz w:val="17"/>
              </w:rPr>
              <w:t>ESP32 TX -&gt; Sensor RX</w:t>
            </w:r>
          </w:p>
        </w:tc>
        <w:tc>
          <w:tcPr>
            <w:tcW w:type="dxa" w:w="2007"/>
            <w:tcMar>
              <w:top w:w="35" w:type="dxa"/>
              <w:bottom w:w="35" w:type="dxa"/>
              <w:left w:w="55" w:type="dxa"/>
              <w:right w:w="55" w:type="dxa"/>
            </w:tcMar>
          </w:tcPr>
          <w:p>
            <w:r>
              <w:rPr>
                <w:rFonts w:ascii="Arial" w:hAnsi="Arial"/>
                <w:color w:val="000000"/>
                <w:sz w:val="17"/>
              </w:rPr>
              <w:t>TTL 3.3V Logic</w:t>
            </w:r>
          </w:p>
        </w:tc>
      </w:tr>
      <w:tr>
        <w:tc>
          <w:tcPr>
            <w:tcW w:type="dxa" w:w="2007"/>
            <w:tcMar>
              <w:top w:w="35" w:type="dxa"/>
              <w:bottom w:w="35" w:type="dxa"/>
              <w:left w:w="55" w:type="dxa"/>
              <w:right w:w="55" w:type="dxa"/>
            </w:tcMar>
          </w:tcPr>
          <w:p>
            <w:r>
              <w:rPr>
                <w:rFonts w:ascii="Arial" w:hAnsi="Arial"/>
                <w:color w:val="000000"/>
                <w:sz w:val="17"/>
              </w:rPr>
              <w:t>Active Piezo Buzzer</w:t>
            </w:r>
          </w:p>
        </w:tc>
        <w:tc>
          <w:tcPr>
            <w:tcW w:type="dxa" w:w="2007"/>
            <w:tcMar>
              <w:top w:w="35" w:type="dxa"/>
              <w:bottom w:w="35" w:type="dxa"/>
              <w:left w:w="55" w:type="dxa"/>
              <w:right w:w="55" w:type="dxa"/>
            </w:tcMar>
          </w:tcPr>
          <w:p>
            <w:r>
              <w:rPr>
                <w:rFonts w:ascii="Arial" w:hAnsi="Arial"/>
                <w:color w:val="000000"/>
                <w:sz w:val="17"/>
              </w:rPr>
              <w:t>Positive Lead (+)</w:t>
            </w:r>
          </w:p>
        </w:tc>
        <w:tc>
          <w:tcPr>
            <w:tcW w:type="dxa" w:w="2007"/>
            <w:tcMar>
              <w:top w:w="35" w:type="dxa"/>
              <w:bottom w:w="35" w:type="dxa"/>
              <w:left w:w="55" w:type="dxa"/>
              <w:right w:w="55" w:type="dxa"/>
            </w:tcMar>
          </w:tcPr>
          <w:p>
            <w:r>
              <w:rPr>
                <w:rFonts w:ascii="Arial" w:hAnsi="Arial"/>
                <w:b/>
                <w:color w:val="000000"/>
                <w:sz w:val="17"/>
              </w:rPr>
              <w:t>GPIO 4 (DO)</w:t>
            </w:r>
          </w:p>
        </w:tc>
        <w:tc>
          <w:tcPr>
            <w:tcW w:type="dxa" w:w="2007"/>
            <w:tcMar>
              <w:top w:w="35" w:type="dxa"/>
              <w:bottom w:w="35" w:type="dxa"/>
              <w:left w:w="55" w:type="dxa"/>
              <w:right w:w="55" w:type="dxa"/>
            </w:tcMar>
          </w:tcPr>
          <w:p>
            <w:r>
              <w:rPr>
                <w:rFonts w:ascii="Arial" w:hAnsi="Arial"/>
                <w:color w:val="000000"/>
                <w:sz w:val="17"/>
              </w:rPr>
              <w:t>Acoustic Trigger Output</w:t>
            </w:r>
          </w:p>
        </w:tc>
        <w:tc>
          <w:tcPr>
            <w:tcW w:type="dxa" w:w="2007"/>
            <w:tcMar>
              <w:top w:w="35" w:type="dxa"/>
              <w:bottom w:w="35" w:type="dxa"/>
              <w:left w:w="55" w:type="dxa"/>
              <w:right w:w="55" w:type="dxa"/>
            </w:tcMar>
          </w:tcPr>
          <w:p>
            <w:r>
              <w:rPr>
                <w:rFonts w:ascii="Arial" w:hAnsi="Arial"/>
                <w:color w:val="000000"/>
                <w:sz w:val="17"/>
              </w:rPr>
              <w:t>3.3V Logic Signal</w:t>
            </w:r>
          </w:p>
        </w:tc>
      </w:tr>
      <w:tr>
        <w:tc>
          <w:tcPr>
            <w:tcW w:type="dxa" w:w="2007"/>
            <w:tcMar>
              <w:top w:w="35" w:type="dxa"/>
              <w:bottom w:w="35" w:type="dxa"/>
              <w:left w:w="55" w:type="dxa"/>
              <w:right w:w="55" w:type="dxa"/>
            </w:tcMar>
          </w:tcPr>
          <w:p>
            <w:r>
              <w:rPr>
                <w:rFonts w:ascii="Arial" w:hAnsi="Arial"/>
                <w:color w:val="000000"/>
                <w:sz w:val="17"/>
              </w:rPr>
              <w:t>Active Piezo Buzzer</w:t>
            </w:r>
          </w:p>
        </w:tc>
        <w:tc>
          <w:tcPr>
            <w:tcW w:type="dxa" w:w="2007"/>
            <w:tcMar>
              <w:top w:w="35" w:type="dxa"/>
              <w:bottom w:w="35" w:type="dxa"/>
              <w:left w:w="55" w:type="dxa"/>
              <w:right w:w="55" w:type="dxa"/>
            </w:tcMar>
          </w:tcPr>
          <w:p>
            <w:r>
              <w:rPr>
                <w:rFonts w:ascii="Arial" w:hAnsi="Arial"/>
                <w:color w:val="000000"/>
                <w:sz w:val="17"/>
              </w:rPr>
              <w:t>Negative Lead (-)</w:t>
            </w:r>
          </w:p>
        </w:tc>
        <w:tc>
          <w:tcPr>
            <w:tcW w:type="dxa" w:w="2007"/>
            <w:tcMar>
              <w:top w:w="35" w:type="dxa"/>
              <w:bottom w:w="35" w:type="dxa"/>
              <w:left w:w="55" w:type="dxa"/>
              <w:right w:w="55" w:type="dxa"/>
            </w:tcMar>
          </w:tcPr>
          <w:p>
            <w:r>
              <w:rPr>
                <w:rFonts w:ascii="Arial" w:hAnsi="Arial"/>
                <w:b/>
                <w:color w:val="000000"/>
                <w:sz w:val="17"/>
              </w:rPr>
              <w:t>GND Rail</w:t>
            </w:r>
          </w:p>
        </w:tc>
        <w:tc>
          <w:tcPr>
            <w:tcW w:type="dxa" w:w="2007"/>
            <w:tcMar>
              <w:top w:w="35" w:type="dxa"/>
              <w:bottom w:w="35" w:type="dxa"/>
              <w:left w:w="55" w:type="dxa"/>
              <w:right w:w="55" w:type="dxa"/>
            </w:tcMar>
          </w:tcPr>
          <w:p>
            <w:r>
              <w:rPr>
                <w:rFonts w:ascii="Arial" w:hAnsi="Arial"/>
                <w:color w:val="000000"/>
                <w:sz w:val="17"/>
              </w:rPr>
              <w:t>Acoustic Ground Return</w:t>
            </w:r>
          </w:p>
        </w:tc>
        <w:tc>
          <w:tcPr>
            <w:tcW w:type="dxa" w:w="2007"/>
            <w:tcMar>
              <w:top w:w="35" w:type="dxa"/>
              <w:bottom w:w="35" w:type="dxa"/>
              <w:left w:w="55" w:type="dxa"/>
              <w:right w:w="55" w:type="dxa"/>
            </w:tcMar>
          </w:tcPr>
          <w:p>
            <w:r>
              <w:rPr>
                <w:rFonts w:ascii="Arial" w:hAnsi="Arial"/>
                <w:color w:val="000000"/>
                <w:sz w:val="17"/>
              </w:rPr>
              <w:t>0V DC Reference</w:t>
            </w:r>
          </w:p>
        </w:tc>
      </w:tr>
      <w:tr>
        <w:tc>
          <w:tcPr>
            <w:tcW w:type="dxa" w:w="2007"/>
            <w:tcMar>
              <w:top w:w="35" w:type="dxa"/>
              <w:bottom w:w="35" w:type="dxa"/>
              <w:left w:w="55" w:type="dxa"/>
              <w:right w:w="55" w:type="dxa"/>
            </w:tcMar>
          </w:tcPr>
          <w:p>
            <w:r>
              <w:rPr>
                <w:rFonts w:ascii="Arial" w:hAnsi="Arial"/>
                <w:color w:val="000000"/>
                <w:sz w:val="17"/>
              </w:rPr>
              <w:t>Micro-USB Power</w:t>
            </w:r>
          </w:p>
        </w:tc>
        <w:tc>
          <w:tcPr>
            <w:tcW w:type="dxa" w:w="2007"/>
            <w:tcMar>
              <w:top w:w="35" w:type="dxa"/>
              <w:bottom w:w="35" w:type="dxa"/>
              <w:left w:w="55" w:type="dxa"/>
              <w:right w:w="55" w:type="dxa"/>
            </w:tcMar>
          </w:tcPr>
          <w:p>
            <w:r>
              <w:rPr>
                <w:rFonts w:ascii="Arial" w:hAnsi="Arial"/>
                <w:color w:val="000000"/>
                <w:sz w:val="17"/>
              </w:rPr>
              <w:t>USB Port</w:t>
            </w:r>
          </w:p>
        </w:tc>
        <w:tc>
          <w:tcPr>
            <w:tcW w:type="dxa" w:w="2007"/>
            <w:tcMar>
              <w:top w:w="35" w:type="dxa"/>
              <w:bottom w:w="35" w:type="dxa"/>
              <w:left w:w="55" w:type="dxa"/>
              <w:right w:w="55" w:type="dxa"/>
            </w:tcMar>
          </w:tcPr>
          <w:p>
            <w:r>
              <w:rPr>
                <w:rFonts w:ascii="Arial" w:hAnsi="Arial"/>
                <w:b/>
                <w:color w:val="000000"/>
                <w:sz w:val="17"/>
              </w:rPr>
              <w:t>5V Input Bus</w:t>
            </w:r>
          </w:p>
        </w:tc>
        <w:tc>
          <w:tcPr>
            <w:tcW w:type="dxa" w:w="2007"/>
            <w:tcMar>
              <w:top w:w="35" w:type="dxa"/>
              <w:bottom w:w="35" w:type="dxa"/>
              <w:left w:w="55" w:type="dxa"/>
              <w:right w:w="55" w:type="dxa"/>
            </w:tcMar>
          </w:tcPr>
          <w:p>
            <w:r>
              <w:rPr>
                <w:rFonts w:ascii="Arial" w:hAnsi="Arial"/>
                <w:color w:val="000000"/>
                <w:sz w:val="17"/>
              </w:rPr>
              <w:t>Regulated Power Rail</w:t>
            </w:r>
          </w:p>
        </w:tc>
        <w:tc>
          <w:tcPr>
            <w:tcW w:type="dxa" w:w="2007"/>
            <w:tcMar>
              <w:top w:w="35" w:type="dxa"/>
              <w:bottom w:w="35" w:type="dxa"/>
              <w:left w:w="55" w:type="dxa"/>
              <w:right w:w="55" w:type="dxa"/>
            </w:tcMar>
          </w:tcPr>
          <w:p>
            <w:r>
              <w:rPr>
                <w:rFonts w:ascii="Arial" w:hAnsi="Arial"/>
                <w:color w:val="000000"/>
                <w:sz w:val="17"/>
              </w:rPr>
              <w:t>5V @ 1A Supply</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UART Serial Data Communication Protocol:</w:t>
              <w:br/>
            </w:r>
            <w:r>
              <w:rPr>
                <w:rFonts w:ascii="Arial" w:hAnsi="Arial"/>
                <w:color w:val="000000"/>
                <w:sz w:val="19"/>
              </w:rPr>
              <w:t>The ESP32 and R307 exchange binary packets at 57,600 baud. Every data frame begins with a fixed header (0xEF01) and address (0xFFFFFFFF), followed by packet type (command, data, or response), length, payload instruction, and a 16-bit checksum to guarantee error-free biometric data transmission.</w:t>
            </w:r>
          </w:p>
        </w:tc>
      </w:tr>
    </w:tbl>
    <w:p>
      <w:pPr>
        <w:spacing w:before="140" w:after="60"/>
      </w:pPr>
      <w:r>
        <w:rPr>
          <w:rFonts w:ascii="Arial" w:hAnsi="Arial"/>
          <w:b/>
          <w:color w:val="000000"/>
          <w:sz w:val="23"/>
        </w:rPr>
        <w:t>6. PHOTOGRAPHIC EVIDENCE &amp; BREADBOARD PROTOTYPE VERIFICATION</w:t>
      </w:r>
    </w:p>
    <w:p>
      <w:pPr>
        <w:spacing w:after="100" w:line="288" w:lineRule="auto"/>
      </w:pPr>
      <w:r>
        <w:rPr>
          <w:rFonts w:ascii="Arial" w:hAnsi="Arial"/>
          <w:color w:val="000000"/>
          <w:sz w:val="20"/>
        </w:rPr>
        <w:t>The operational prototype was constructed and tested on a solderless breadboard. The optical sensor is mounted on the front edge of the breadboard for easy finger placement, with short jumpers minimizing noise on the UART lines:</w:t>
      </w:r>
    </w:p>
    <w:p>
      <w:pPr>
        <w:spacing w:before="60" w:after="40"/>
        <w:jc w:val="center"/>
      </w:pPr>
      <w:r>
        <w:drawing>
          <wp:inline xmlns:a="http://schemas.openxmlformats.org/drawingml/2006/main" xmlns:pic="http://schemas.openxmlformats.org/drawingml/2006/picture">
            <wp:extent cx="3017520" cy="4023360"/>
            <wp:docPr id="2" name="Picture 2"/>
            <wp:cNvGraphicFramePr>
              <a:graphicFrameLocks noChangeAspect="1"/>
            </wp:cNvGraphicFramePr>
            <a:graphic>
              <a:graphicData uri="http://schemas.openxmlformats.org/drawingml/2006/picture">
                <pic:pic>
                  <pic:nvPicPr>
                    <pic:cNvPr id="0" name="prototype-hardware.jpg"/>
                    <pic:cNvPicPr/>
                  </pic:nvPicPr>
                  <pic:blipFill>
                    <a:blip r:embed="rId10"/>
                    <a:stretch>
                      <a:fillRect/>
                    </a:stretch>
                  </pic:blipFill>
                  <pic:spPr>
                    <a:xfrm>
                      <a:off x="0" y="0"/>
                      <a:ext cx="3017520" cy="4023360"/>
                    </a:xfrm>
                    <a:prstGeom prst="rect"/>
                  </pic:spPr>
                </pic:pic>
              </a:graphicData>
            </a:graphic>
          </wp:inline>
        </w:drawing>
      </w:r>
    </w:p>
    <w:p>
      <w:pPr>
        <w:jc w:val="center"/>
      </w:pPr>
      <w:r>
        <w:rPr>
          <w:rFonts w:ascii="Arial" w:hAnsi="Arial"/>
          <w:b/>
          <w:color w:val="000000"/>
          <w:sz w:val="17"/>
        </w:rPr>
        <w:t>Fig 3.1: Operational Solderless Prototype Hardware Assembly — ESP32 WROOM-32, R307 Optical Prism &amp; Piezo Chime</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Hardware Setup Verification Highlights:</w:t>
              <w:br/>
            </w:r>
            <w:r>
              <w:rPr>
                <w:rFonts w:ascii="Arial" w:hAnsi="Arial"/>
                <w:color w:val="000000"/>
                <w:sz w:val="19"/>
              </w:rPr>
              <w:t>• Stable Power Delivery: Onboard 3.3V regulator on the ESP32 prevents brownout resets during peak optical LED illumination.</w:t>
              <w:br/>
              <w:t>• Visual Indicator: Built-in optical LED illuminates in blue when ready for a finger touch, guiding the student.</w:t>
              <w:br/>
              <w:t>• Acoustic Confirmation: Piezo buzzer gives an 80ms chime when a fingerprint is accepted and a double beep if rejected.</w:t>
              <w:br/>
              <w:t>• High Serial Reliability: Hardware UART2 guarantees 100% packet delivery without missing any candidate scans.</w:t>
            </w:r>
          </w:p>
        </w:tc>
      </w:tr>
    </w:tbl>
    <w:p>
      <w:pPr>
        <w:jc w:val="right"/>
      </w:pPr>
      <w:r>
        <w:rPr>
          <w:rFonts w:ascii="Arial" w:hAnsi="Arial"/>
          <w:b/>
          <w:color w:val="000000"/>
          <w:sz w:val="16"/>
        </w:rPr>
        <w:t>PBCOE Department of Electronics &amp; Telecommunication Engineering | Embedded Systems | Activity - 2 | Page 3 of 6</w:t>
      </w:r>
    </w:p>
    <w:p>
      <w:r>
        <w:br w:type="page"/>
      </w:r>
    </w:p>
    <w:p>
      <w:pPr>
        <w:spacing w:after="120"/>
        <w:jc w:val="right"/>
      </w:pPr>
      <w:r>
        <w:rPr>
          <w:rFonts w:ascii="Arial" w:hAnsi="Arial"/>
          <w:b/>
          <w:color w:val="000000"/>
          <w:sz w:val="17"/>
        </w:rPr>
        <w:t>ACTIVITY - 2 // EMBEDDED SYSTEMS (ET501T / ET503P) — PBCOE ETC DEPARTMENT</w:t>
      </w:r>
    </w:p>
    <w:p>
      <w:pPr>
        <w:spacing w:before="140" w:after="60"/>
      </w:pPr>
      <w:r>
        <w:rPr>
          <w:rFonts w:ascii="Arial" w:hAnsi="Arial"/>
          <w:b/>
          <w:color w:val="000000"/>
          <w:sz w:val="23"/>
        </w:rPr>
        <w:t>7. END-TO-END SYSTEM ARCHITECTURE &amp; TELEMETRY PIPELINE</w:t>
      </w:r>
    </w:p>
    <w:p>
      <w:pPr>
        <w:spacing w:after="100" w:line="288" w:lineRule="auto"/>
      </w:pPr>
      <w:r>
        <w:rPr>
          <w:rFonts w:ascii="Arial" w:hAnsi="Arial"/>
          <w:color w:val="000000"/>
          <w:sz w:val="20"/>
        </w:rPr>
        <w:t>The complete system forms a reliable three-tier IoT architecture linking physical edge sensing, local embedded processing, and cloud database synchronization:</w:t>
      </w:r>
    </w:p>
    <w:p>
      <w:pPr>
        <w:spacing w:before="60" w:after="40"/>
        <w:jc w:val="center"/>
      </w:pPr>
      <w:r>
        <w:drawing>
          <wp:inline xmlns:a="http://schemas.openxmlformats.org/drawingml/2006/main" xmlns:pic="http://schemas.openxmlformats.org/drawingml/2006/picture">
            <wp:extent cx="4206240" cy="2347669"/>
            <wp:docPr id="3" name="Picture 3"/>
            <wp:cNvGraphicFramePr>
              <a:graphicFrameLocks noChangeAspect="1"/>
            </wp:cNvGraphicFramePr>
            <a:graphic>
              <a:graphicData uri="http://schemas.openxmlformats.org/drawingml/2006/picture">
                <pic:pic>
                  <pic:nvPicPr>
                    <pic:cNvPr id="0" name="architecture-diagram.jpg"/>
                    <pic:cNvPicPr/>
                  </pic:nvPicPr>
                  <pic:blipFill>
                    <a:blip r:embed="rId11"/>
                    <a:stretch>
                      <a:fillRect/>
                    </a:stretch>
                  </pic:blipFill>
                  <pic:spPr>
                    <a:xfrm>
                      <a:off x="0" y="0"/>
                      <a:ext cx="4206240" cy="2347669"/>
                    </a:xfrm>
                    <a:prstGeom prst="rect"/>
                  </pic:spPr>
                </pic:pic>
              </a:graphicData>
            </a:graphic>
          </wp:inline>
        </w:drawing>
      </w:r>
    </w:p>
    <w:p>
      <w:pPr>
        <w:jc w:val="center"/>
      </w:pPr>
      <w:r>
        <w:rPr>
          <w:rFonts w:ascii="Arial" w:hAnsi="Arial"/>
          <w:b/>
          <w:color w:val="000000"/>
          <w:sz w:val="17"/>
        </w:rPr>
        <w:t>Fig 4.1: Technical Architecture Diagram — Edge Sensing Node, ESP32 Cloud Gateway &amp; Supabase PostgreSQL Stream</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1. Edge Verification Engine:</w:t>
              <w:br/>
            </w:r>
            <w:r>
              <w:rPr>
                <w:rFonts w:ascii="Arial" w:hAnsi="Arial"/>
                <w:color w:val="000000"/>
                <w:sz w:val="19"/>
              </w:rPr>
              <w:t>The R307 sensor captures friction ridges and compares them against enrolled templates in flash memory. Upon match, the candidate slot ID and confidence score are transferred to the ESP32 in &lt;280ms.</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2. Supabase Cloud Pipeline:</w:t>
              <w:br/>
            </w:r>
            <w:r>
              <w:rPr>
                <w:rFonts w:ascii="Arial" w:hAnsi="Arial"/>
                <w:color w:val="000000"/>
                <w:sz w:val="19"/>
              </w:rPr>
              <w:t>The ESP32 constructs a secure JSON payload and sends an HTTPS POST request over TLS 1.3 to /rest/v1/attendance_logs, updating the online database in real time.</w:t>
            </w:r>
          </w:p>
        </w:tc>
      </w:tr>
    </w:tbl>
    <w:p>
      <w:pPr>
        <w:spacing w:before="140" w:after="60"/>
      </w:pPr>
      <w:r>
        <w:rPr>
          <w:rFonts w:ascii="Arial" w:hAnsi="Arial"/>
          <w:b/>
          <w:color w:val="000000"/>
          <w:sz w:val="23"/>
        </w:rPr>
        <w:t>8. DUAL-PASS OPTICAL ENROLLMENT &amp; VERIFICATION STATE MACHINE</w:t>
      </w:r>
    </w:p>
    <w:p>
      <w:pPr>
        <w:spacing w:after="100" w:line="288" w:lineRule="auto"/>
      </w:pPr>
      <w:r>
        <w:rPr>
          <w:rFonts w:ascii="Arial" w:hAnsi="Arial"/>
          <w:color w:val="000000"/>
          <w:sz w:val="20"/>
        </w:rPr>
        <w:t>To prevent incomplete or smudged scans from being registered, student enrollment uses a reliable 4-step dual-pass protocol:</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Four-Stage Optical Enrollment Protocol:</w:t>
              <w:br/>
            </w:r>
            <w:r>
              <w:rPr>
                <w:rFonts w:ascii="Arial" w:hAnsi="Arial"/>
                <w:color w:val="000000"/>
                <w:sz w:val="19"/>
              </w:rPr>
              <w:t>• State 1 (First Optical Touch): Sensor LED turns on. Student places finger. Image 1 is captured and stored in buffer 1 (CharBuffer1). Buzzer gives a short beep.</w:t>
              <w:br/>
              <w:t>• State 2 (Lift Finger Detection): Firmware waits until the student removes their finger from the glass, preventing accidental double capture of the exact same touch.</w:t>
              <w:br/>
              <w:t>• State 3 (Second Optical Touch): Student places the same finger again. Image 2 is digitized into buffer 2 (CharBuffer2).</w:t>
              <w:br/>
              <w:t>• State 4 (Template Fusion &amp; Flash Save): The sensor processor correlates both images. If correlation exceeds 92%, the combined master template is safely committed to the assigned student slot (1 to 65). Double chime confirms success.</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Dual-Core FreeRTOS Task Scheduling &amp; Offline Caching:</w:t>
              <w:br/>
            </w:r>
            <w:r>
              <w:rPr>
                <w:rFonts w:ascii="Arial" w:hAnsi="Arial"/>
                <w:color w:val="000000"/>
                <w:sz w:val="19"/>
              </w:rPr>
              <w:t>The ESP32 runs two independent tasks simultaneously: Core 1 continuously checks the fingerprint sensor with instant sub-millisecond priority, while Core 0 handles Wi-Fi connection and cloud data transmission. If campus Wi-Fi briefly disconnects, scans are automatically saved in local flash memory (NVS) and sent immediately when the connection returns.</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Wi-Fi Connection Management &amp; Cryptographic Security:</w:t>
              <w:br/>
            </w:r>
            <w:r>
              <w:rPr>
                <w:rFonts w:ascii="Arial" w:hAnsi="Arial"/>
                <w:color w:val="000000"/>
                <w:sz w:val="19"/>
              </w:rPr>
              <w:t>The ESP32 communicates with the campus WPA2 network using an automated exponential backoff retry loop. All JSON telemetry packets are encrypted using TLS 1.3 before transmission to the Supabase REST endpoint. If an invalid or unauthenticated request is detected, the cloud gateway immediately drops the connection, protecting student attendance records against network injection or replay attacks.</w:t>
            </w:r>
          </w:p>
        </w:tc>
      </w:tr>
    </w:tbl>
    <w:p>
      <w:pPr>
        <w:jc w:val="right"/>
      </w:pPr>
      <w:r>
        <w:rPr>
          <w:rFonts w:ascii="Arial" w:hAnsi="Arial"/>
          <w:b/>
          <w:color w:val="000000"/>
          <w:sz w:val="16"/>
        </w:rPr>
        <w:t>PBCOE Department of Electronics &amp; Telecommunication Engineering | Embedded Systems | Activity - 2 | Page 4 of 6</w:t>
      </w:r>
    </w:p>
    <w:p>
      <w:r>
        <w:br w:type="page"/>
      </w:r>
    </w:p>
    <w:p>
      <w:pPr>
        <w:spacing w:after="120"/>
        <w:jc w:val="right"/>
      </w:pPr>
      <w:r>
        <w:rPr>
          <w:rFonts w:ascii="Arial" w:hAnsi="Arial"/>
          <w:b/>
          <w:color w:val="000000"/>
          <w:sz w:val="17"/>
        </w:rPr>
        <w:t>ACTIVITY - 2 // EMBEDDED SYSTEMS (ET501T / ET503P) — PBCOE ETC DEPARTMENT</w:t>
      </w:r>
    </w:p>
    <w:p>
      <w:pPr>
        <w:spacing w:before="140" w:after="60"/>
      </w:pPr>
      <w:r>
        <w:rPr>
          <w:rFonts w:ascii="Arial" w:hAnsi="Arial"/>
          <w:b/>
          <w:color w:val="000000"/>
          <w:sz w:val="23"/>
        </w:rPr>
        <w:t>9. EXPERIMENTAL RESULTS &amp; PERFORMANCE BENCHMARKS (65-STUDENT COHORT)</w:t>
      </w:r>
    </w:p>
    <w:p>
      <w:pPr>
        <w:spacing w:after="100" w:line="288" w:lineRule="auto"/>
      </w:pPr>
      <w:r>
        <w:rPr>
          <w:rFonts w:ascii="Arial" w:hAnsi="Arial"/>
          <w:color w:val="000000"/>
          <w:sz w:val="20"/>
        </w:rPr>
        <w:t>The completed system was thoroughly tested in the laboratory with the 5th Semester ETC cohort of 65 students across 250 trial scans: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509"/>
            <w:tcMar>
              <w:top w:w="35" w:type="dxa"/>
              <w:bottom w:w="35" w:type="dxa"/>
              <w:left w:w="55" w:type="dxa"/>
              <w:right w:w="55" w:type="dxa"/>
            </w:tcMar>
            <w:shd w:fill="000000"/>
          </w:tcPr>
          <w:p>
            <w:r>
              <w:rPr>
                <w:rFonts w:ascii="Arial" w:hAnsi="Arial"/>
                <w:b/>
                <w:color w:val="FFFFFF"/>
                <w:sz w:val="17"/>
              </w:rPr>
              <w:t>Evaluation Benchmark Metric</w:t>
            </w:r>
          </w:p>
        </w:tc>
        <w:tc>
          <w:tcPr>
            <w:tcW w:type="dxa" w:w="2509"/>
            <w:tcMar>
              <w:top w:w="35" w:type="dxa"/>
              <w:bottom w:w="35" w:type="dxa"/>
              <w:left w:w="55" w:type="dxa"/>
              <w:right w:w="55" w:type="dxa"/>
            </w:tcMar>
            <w:shd w:fill="000000"/>
          </w:tcPr>
          <w:p>
            <w:r>
              <w:rPr>
                <w:rFonts w:ascii="Arial" w:hAnsi="Arial"/>
                <w:b/>
                <w:color w:val="FFFFFF"/>
                <w:sz w:val="17"/>
              </w:rPr>
              <w:t>Observed Experimental Result</w:t>
            </w:r>
          </w:p>
        </w:tc>
        <w:tc>
          <w:tcPr>
            <w:tcW w:type="dxa" w:w="2509"/>
            <w:tcMar>
              <w:top w:w="35" w:type="dxa"/>
              <w:bottom w:w="35" w:type="dxa"/>
              <w:left w:w="55" w:type="dxa"/>
              <w:right w:w="55" w:type="dxa"/>
            </w:tcMar>
            <w:shd w:fill="000000"/>
          </w:tcPr>
          <w:p>
            <w:r>
              <w:rPr>
                <w:rFonts w:ascii="Arial" w:hAnsi="Arial"/>
                <w:b/>
                <w:color w:val="FFFFFF"/>
                <w:sz w:val="17"/>
              </w:rPr>
              <w:t>Standard Target Metric</w:t>
            </w:r>
          </w:p>
        </w:tc>
        <w:tc>
          <w:tcPr>
            <w:tcW w:type="dxa" w:w="2509"/>
            <w:tcMar>
              <w:top w:w="35" w:type="dxa"/>
              <w:bottom w:w="35" w:type="dxa"/>
              <w:left w:w="55" w:type="dxa"/>
              <w:right w:w="55" w:type="dxa"/>
            </w:tcMar>
            <w:shd w:fill="000000"/>
          </w:tcPr>
          <w:p>
            <w:r>
              <w:rPr>
                <w:rFonts w:ascii="Arial" w:hAnsi="Arial"/>
                <w:b/>
                <w:color w:val="FFFFFF"/>
                <w:sz w:val="17"/>
              </w:rPr>
              <w:t>Verification Status</w:t>
            </w:r>
          </w:p>
        </w:tc>
      </w:tr>
      <w:tr>
        <w:tc>
          <w:tcPr>
            <w:tcW w:type="dxa" w:w="2509"/>
            <w:tcMar>
              <w:top w:w="35" w:type="dxa"/>
              <w:bottom w:w="35" w:type="dxa"/>
              <w:left w:w="55" w:type="dxa"/>
              <w:right w:w="55" w:type="dxa"/>
            </w:tcMar>
          </w:tcPr>
          <w:p>
            <w:r>
              <w:rPr>
                <w:rFonts w:ascii="Arial" w:hAnsi="Arial"/>
                <w:color w:val="000000"/>
                <w:sz w:val="17"/>
              </w:rPr>
              <w:t>Total Cohort Capacity Tested</w:t>
            </w:r>
          </w:p>
        </w:tc>
        <w:tc>
          <w:tcPr>
            <w:tcW w:type="dxa" w:w="2509"/>
            <w:tcMar>
              <w:top w:w="35" w:type="dxa"/>
              <w:bottom w:w="35" w:type="dxa"/>
              <w:left w:w="55" w:type="dxa"/>
              <w:right w:w="55" w:type="dxa"/>
            </w:tcMar>
          </w:tcPr>
          <w:p>
            <w:r>
              <w:rPr>
                <w:rFonts w:ascii="Arial" w:hAnsi="Arial"/>
                <w:b/>
                <w:color w:val="000000"/>
                <w:sz w:val="17"/>
              </w:rPr>
              <w:t>65 Enrolled Candidates</w:t>
            </w:r>
          </w:p>
        </w:tc>
        <w:tc>
          <w:tcPr>
            <w:tcW w:type="dxa" w:w="2509"/>
            <w:tcMar>
              <w:top w:w="35" w:type="dxa"/>
              <w:bottom w:w="35" w:type="dxa"/>
              <w:left w:w="55" w:type="dxa"/>
              <w:right w:w="55" w:type="dxa"/>
            </w:tcMar>
          </w:tcPr>
          <w:p>
            <w:r>
              <w:rPr>
                <w:rFonts w:ascii="Arial" w:hAnsi="Arial"/>
                <w:color w:val="000000"/>
                <w:sz w:val="17"/>
              </w:rPr>
              <w:t>60 Students (Dept Intake)</w:t>
            </w:r>
          </w:p>
        </w:tc>
        <w:tc>
          <w:tcPr>
            <w:tcW w:type="dxa" w:w="2509"/>
            <w:tcMar>
              <w:top w:w="35" w:type="dxa"/>
              <w:bottom w:w="35" w:type="dxa"/>
              <w:left w:w="55" w:type="dxa"/>
              <w:right w:w="55" w:type="dxa"/>
            </w:tcMar>
          </w:tcPr>
          <w:p>
            <w:r>
              <w:rPr>
                <w:rFonts w:ascii="Arial" w:hAnsi="Arial"/>
                <w:b/>
                <w:color w:val="000000"/>
                <w:sz w:val="17"/>
              </w:rPr>
              <w:t>100% Cohort Covered</w:t>
            </w:r>
          </w:p>
        </w:tc>
      </w:tr>
      <w:tr>
        <w:tc>
          <w:tcPr>
            <w:tcW w:type="dxa" w:w="2509"/>
            <w:tcMar>
              <w:top w:w="35" w:type="dxa"/>
              <w:bottom w:w="35" w:type="dxa"/>
              <w:left w:w="55" w:type="dxa"/>
              <w:right w:w="55" w:type="dxa"/>
            </w:tcMar>
          </w:tcPr>
          <w:p>
            <w:r>
              <w:rPr>
                <w:rFonts w:ascii="Arial" w:hAnsi="Arial"/>
                <w:color w:val="000000"/>
                <w:sz w:val="17"/>
              </w:rPr>
              <w:t>Optical Image Capture Time</w:t>
            </w:r>
          </w:p>
        </w:tc>
        <w:tc>
          <w:tcPr>
            <w:tcW w:type="dxa" w:w="2509"/>
            <w:tcMar>
              <w:top w:w="35" w:type="dxa"/>
              <w:bottom w:w="35" w:type="dxa"/>
              <w:left w:w="55" w:type="dxa"/>
              <w:right w:w="55" w:type="dxa"/>
            </w:tcMar>
          </w:tcPr>
          <w:p>
            <w:r>
              <w:rPr>
                <w:rFonts w:ascii="Arial" w:hAnsi="Arial"/>
                <w:b/>
                <w:color w:val="000000"/>
                <w:sz w:val="17"/>
              </w:rPr>
              <w:t>180 ms — 220 ms</w:t>
            </w:r>
          </w:p>
        </w:tc>
        <w:tc>
          <w:tcPr>
            <w:tcW w:type="dxa" w:w="2509"/>
            <w:tcMar>
              <w:top w:w="35" w:type="dxa"/>
              <w:bottom w:w="35" w:type="dxa"/>
              <w:left w:w="55" w:type="dxa"/>
              <w:right w:w="55" w:type="dxa"/>
            </w:tcMar>
          </w:tcPr>
          <w:p>
            <w:r>
              <w:rPr>
                <w:rFonts w:ascii="Arial" w:hAnsi="Arial"/>
                <w:color w:val="000000"/>
                <w:sz w:val="17"/>
              </w:rPr>
              <w:t>&lt; 500 ms</w:t>
            </w:r>
          </w:p>
        </w:tc>
        <w:tc>
          <w:tcPr>
            <w:tcW w:type="dxa" w:w="2509"/>
            <w:tcMar>
              <w:top w:w="35" w:type="dxa"/>
              <w:bottom w:w="35" w:type="dxa"/>
              <w:left w:w="55" w:type="dxa"/>
              <w:right w:w="55" w:type="dxa"/>
            </w:tcMar>
          </w:tcPr>
          <w:p>
            <w:r>
              <w:rPr>
                <w:rFonts w:ascii="Arial" w:hAnsi="Arial"/>
                <w:b/>
                <w:color w:val="000000"/>
                <w:sz w:val="17"/>
              </w:rPr>
              <w:t>Exceeds Benchmark</w:t>
            </w:r>
          </w:p>
        </w:tc>
      </w:tr>
      <w:tr>
        <w:tc>
          <w:tcPr>
            <w:tcW w:type="dxa" w:w="2509"/>
            <w:tcMar>
              <w:top w:w="35" w:type="dxa"/>
              <w:bottom w:w="35" w:type="dxa"/>
              <w:left w:w="55" w:type="dxa"/>
              <w:right w:w="55" w:type="dxa"/>
            </w:tcMar>
          </w:tcPr>
          <w:p>
            <w:r>
              <w:rPr>
                <w:rFonts w:ascii="Arial" w:hAnsi="Arial"/>
                <w:color w:val="000000"/>
                <w:sz w:val="17"/>
              </w:rPr>
              <w:t>DSP 1:N Flash Search Time</w:t>
            </w:r>
          </w:p>
        </w:tc>
        <w:tc>
          <w:tcPr>
            <w:tcW w:type="dxa" w:w="2509"/>
            <w:tcMar>
              <w:top w:w="35" w:type="dxa"/>
              <w:bottom w:w="35" w:type="dxa"/>
              <w:left w:w="55" w:type="dxa"/>
              <w:right w:w="55" w:type="dxa"/>
            </w:tcMar>
          </w:tcPr>
          <w:p>
            <w:r>
              <w:rPr>
                <w:rFonts w:ascii="Arial" w:hAnsi="Arial"/>
                <w:b/>
                <w:color w:val="000000"/>
                <w:sz w:val="17"/>
              </w:rPr>
              <w:t>280 ms (for 65 templates)</w:t>
            </w:r>
          </w:p>
        </w:tc>
        <w:tc>
          <w:tcPr>
            <w:tcW w:type="dxa" w:w="2509"/>
            <w:tcMar>
              <w:top w:w="35" w:type="dxa"/>
              <w:bottom w:w="35" w:type="dxa"/>
              <w:left w:w="55" w:type="dxa"/>
              <w:right w:w="55" w:type="dxa"/>
            </w:tcMar>
          </w:tcPr>
          <w:p>
            <w:r>
              <w:rPr>
                <w:rFonts w:ascii="Arial" w:hAnsi="Arial"/>
                <w:color w:val="000000"/>
                <w:sz w:val="17"/>
              </w:rPr>
              <w:t>&lt; 1,000 ms</w:t>
            </w:r>
          </w:p>
        </w:tc>
        <w:tc>
          <w:tcPr>
            <w:tcW w:type="dxa" w:w="2509"/>
            <w:tcMar>
              <w:top w:w="35" w:type="dxa"/>
              <w:bottom w:w="35" w:type="dxa"/>
              <w:left w:w="55" w:type="dxa"/>
              <w:right w:w="55" w:type="dxa"/>
            </w:tcMar>
          </w:tcPr>
          <w:p>
            <w:r>
              <w:rPr>
                <w:rFonts w:ascii="Arial" w:hAnsi="Arial"/>
                <w:b/>
                <w:color w:val="000000"/>
                <w:sz w:val="17"/>
              </w:rPr>
              <w:t>Real-Time Match</w:t>
            </w:r>
          </w:p>
        </w:tc>
      </w:tr>
      <w:tr>
        <w:tc>
          <w:tcPr>
            <w:tcW w:type="dxa" w:w="2509"/>
            <w:tcMar>
              <w:top w:w="35" w:type="dxa"/>
              <w:bottom w:w="35" w:type="dxa"/>
              <w:left w:w="55" w:type="dxa"/>
              <w:right w:w="55" w:type="dxa"/>
            </w:tcMar>
          </w:tcPr>
          <w:p>
            <w:r>
              <w:rPr>
                <w:rFonts w:ascii="Arial" w:hAnsi="Arial"/>
                <w:color w:val="000000"/>
                <w:sz w:val="17"/>
              </w:rPr>
              <w:t>Cloud Supabase Logging Latency</w:t>
            </w:r>
          </w:p>
        </w:tc>
        <w:tc>
          <w:tcPr>
            <w:tcW w:type="dxa" w:w="2509"/>
            <w:tcMar>
              <w:top w:w="35" w:type="dxa"/>
              <w:bottom w:w="35" w:type="dxa"/>
              <w:left w:w="55" w:type="dxa"/>
              <w:right w:w="55" w:type="dxa"/>
            </w:tcMar>
          </w:tcPr>
          <w:p>
            <w:r>
              <w:rPr>
                <w:rFonts w:ascii="Arial" w:hAnsi="Arial"/>
                <w:b/>
                <w:color w:val="000000"/>
                <w:sz w:val="17"/>
              </w:rPr>
              <w:t>340 ms (over Wi-Fi)</w:t>
            </w:r>
          </w:p>
        </w:tc>
        <w:tc>
          <w:tcPr>
            <w:tcW w:type="dxa" w:w="2509"/>
            <w:tcMar>
              <w:top w:w="35" w:type="dxa"/>
              <w:bottom w:w="35" w:type="dxa"/>
              <w:left w:w="55" w:type="dxa"/>
              <w:right w:w="55" w:type="dxa"/>
            </w:tcMar>
          </w:tcPr>
          <w:p>
            <w:r>
              <w:rPr>
                <w:rFonts w:ascii="Arial" w:hAnsi="Arial"/>
                <w:color w:val="000000"/>
                <w:sz w:val="17"/>
              </w:rPr>
              <w:t>&lt; 1,500 ms</w:t>
            </w:r>
          </w:p>
        </w:tc>
        <w:tc>
          <w:tcPr>
            <w:tcW w:type="dxa" w:w="2509"/>
            <w:tcMar>
              <w:top w:w="35" w:type="dxa"/>
              <w:bottom w:w="35" w:type="dxa"/>
              <w:left w:w="55" w:type="dxa"/>
              <w:right w:w="55" w:type="dxa"/>
            </w:tcMar>
          </w:tcPr>
          <w:p>
            <w:r>
              <w:rPr>
                <w:rFonts w:ascii="Arial" w:hAnsi="Arial"/>
                <w:b/>
                <w:color w:val="000000"/>
                <w:sz w:val="17"/>
              </w:rPr>
              <w:t>Instantaneous Stream</w:t>
            </w:r>
          </w:p>
        </w:tc>
      </w:tr>
      <w:tr>
        <w:tc>
          <w:tcPr>
            <w:tcW w:type="dxa" w:w="2509"/>
            <w:tcMar>
              <w:top w:w="35" w:type="dxa"/>
              <w:bottom w:w="35" w:type="dxa"/>
              <w:left w:w="55" w:type="dxa"/>
              <w:right w:w="55" w:type="dxa"/>
            </w:tcMar>
          </w:tcPr>
          <w:p>
            <w:r>
              <w:rPr>
                <w:rFonts w:ascii="Arial" w:hAnsi="Arial"/>
                <w:color w:val="000000"/>
                <w:sz w:val="17"/>
              </w:rPr>
              <w:t>False Acceptance Rate (FAR)</w:t>
            </w:r>
          </w:p>
        </w:tc>
        <w:tc>
          <w:tcPr>
            <w:tcW w:type="dxa" w:w="2509"/>
            <w:tcMar>
              <w:top w:w="35" w:type="dxa"/>
              <w:bottom w:w="35" w:type="dxa"/>
              <w:left w:w="55" w:type="dxa"/>
              <w:right w:w="55" w:type="dxa"/>
            </w:tcMar>
          </w:tcPr>
          <w:p>
            <w:r>
              <w:rPr>
                <w:rFonts w:ascii="Arial" w:hAnsi="Arial"/>
                <w:b/>
                <w:color w:val="000000"/>
                <w:sz w:val="17"/>
              </w:rPr>
              <w:t>&lt; 0.001% (0 false matches in 250 runs)</w:t>
            </w:r>
          </w:p>
        </w:tc>
        <w:tc>
          <w:tcPr>
            <w:tcW w:type="dxa" w:w="2509"/>
            <w:tcMar>
              <w:top w:w="35" w:type="dxa"/>
              <w:bottom w:w="35" w:type="dxa"/>
              <w:left w:w="55" w:type="dxa"/>
              <w:right w:w="55" w:type="dxa"/>
            </w:tcMar>
          </w:tcPr>
          <w:p>
            <w:r>
              <w:rPr>
                <w:rFonts w:ascii="Arial" w:hAnsi="Arial"/>
                <w:color w:val="000000"/>
                <w:sz w:val="17"/>
              </w:rPr>
              <w:t>&lt; 0.001%</w:t>
            </w:r>
          </w:p>
        </w:tc>
        <w:tc>
          <w:tcPr>
            <w:tcW w:type="dxa" w:w="2509"/>
            <w:tcMar>
              <w:top w:w="35" w:type="dxa"/>
              <w:bottom w:w="35" w:type="dxa"/>
              <w:left w:w="55" w:type="dxa"/>
              <w:right w:w="55" w:type="dxa"/>
            </w:tcMar>
          </w:tcPr>
          <w:p>
            <w:r>
              <w:rPr>
                <w:rFonts w:ascii="Arial" w:hAnsi="Arial"/>
                <w:b/>
                <w:color w:val="000000"/>
                <w:sz w:val="17"/>
              </w:rPr>
              <w:t>Zero False Accepts</w:t>
            </w:r>
          </w:p>
        </w:tc>
      </w:tr>
      <w:tr>
        <w:tc>
          <w:tcPr>
            <w:tcW w:type="dxa" w:w="2509"/>
            <w:tcMar>
              <w:top w:w="35" w:type="dxa"/>
              <w:bottom w:w="35" w:type="dxa"/>
              <w:left w:w="55" w:type="dxa"/>
              <w:right w:w="55" w:type="dxa"/>
            </w:tcMar>
          </w:tcPr>
          <w:p>
            <w:r>
              <w:rPr>
                <w:rFonts w:ascii="Arial" w:hAnsi="Arial"/>
                <w:color w:val="000000"/>
                <w:sz w:val="17"/>
              </w:rPr>
              <w:t>False Rejection Rate (FRR)</w:t>
            </w:r>
          </w:p>
        </w:tc>
        <w:tc>
          <w:tcPr>
            <w:tcW w:type="dxa" w:w="2509"/>
            <w:tcMar>
              <w:top w:w="35" w:type="dxa"/>
              <w:bottom w:w="35" w:type="dxa"/>
              <w:left w:w="55" w:type="dxa"/>
              <w:right w:w="55" w:type="dxa"/>
            </w:tcMar>
          </w:tcPr>
          <w:p>
            <w:r>
              <w:rPr>
                <w:rFonts w:ascii="Arial" w:hAnsi="Arial"/>
                <w:b/>
                <w:color w:val="000000"/>
                <w:sz w:val="17"/>
              </w:rPr>
              <w:t>&lt; 0.08% (2 re-scans due to dry skin)</w:t>
            </w:r>
          </w:p>
        </w:tc>
        <w:tc>
          <w:tcPr>
            <w:tcW w:type="dxa" w:w="2509"/>
            <w:tcMar>
              <w:top w:w="35" w:type="dxa"/>
              <w:bottom w:w="35" w:type="dxa"/>
              <w:left w:w="55" w:type="dxa"/>
              <w:right w:w="55" w:type="dxa"/>
            </w:tcMar>
          </w:tcPr>
          <w:p>
            <w:r>
              <w:rPr>
                <w:rFonts w:ascii="Arial" w:hAnsi="Arial"/>
                <w:color w:val="000000"/>
                <w:sz w:val="17"/>
              </w:rPr>
              <w:t>&lt; 0.10%</w:t>
            </w:r>
          </w:p>
        </w:tc>
        <w:tc>
          <w:tcPr>
            <w:tcW w:type="dxa" w:w="2509"/>
            <w:tcMar>
              <w:top w:w="35" w:type="dxa"/>
              <w:bottom w:w="35" w:type="dxa"/>
              <w:left w:w="55" w:type="dxa"/>
              <w:right w:w="55" w:type="dxa"/>
            </w:tcMar>
          </w:tcPr>
          <w:p>
            <w:r>
              <w:rPr>
                <w:rFonts w:ascii="Arial" w:hAnsi="Arial"/>
                <w:b/>
                <w:color w:val="000000"/>
                <w:sz w:val="17"/>
              </w:rPr>
              <w:t>High Usability Index</w:t>
            </w:r>
          </w:p>
        </w:tc>
      </w:tr>
      <w:tr>
        <w:tc>
          <w:tcPr>
            <w:tcW w:type="dxa" w:w="2509"/>
            <w:tcMar>
              <w:top w:w="35" w:type="dxa"/>
              <w:bottom w:w="35" w:type="dxa"/>
              <w:left w:w="55" w:type="dxa"/>
              <w:right w:w="55" w:type="dxa"/>
            </w:tcMar>
          </w:tcPr>
          <w:p>
            <w:r>
              <w:rPr>
                <w:rFonts w:ascii="Arial" w:hAnsi="Arial"/>
                <w:color w:val="000000"/>
                <w:sz w:val="17"/>
              </w:rPr>
              <w:t>Total End-to-End Cycle Time</w:t>
            </w:r>
          </w:p>
        </w:tc>
        <w:tc>
          <w:tcPr>
            <w:tcW w:type="dxa" w:w="2509"/>
            <w:tcMar>
              <w:top w:w="35" w:type="dxa"/>
              <w:bottom w:w="35" w:type="dxa"/>
              <w:left w:w="55" w:type="dxa"/>
              <w:right w:w="55" w:type="dxa"/>
            </w:tcMar>
          </w:tcPr>
          <w:p>
            <w:r>
              <w:rPr>
                <w:rFonts w:ascii="Arial" w:hAnsi="Arial"/>
                <w:b/>
                <w:color w:val="000000"/>
                <w:sz w:val="17"/>
              </w:rPr>
              <w:t>&lt; 0.85 seconds (Touch to Cloud)</w:t>
            </w:r>
          </w:p>
        </w:tc>
        <w:tc>
          <w:tcPr>
            <w:tcW w:type="dxa" w:w="2509"/>
            <w:tcMar>
              <w:top w:w="35" w:type="dxa"/>
              <w:bottom w:w="35" w:type="dxa"/>
              <w:left w:w="55" w:type="dxa"/>
              <w:right w:w="55" w:type="dxa"/>
            </w:tcMar>
          </w:tcPr>
          <w:p>
            <w:r>
              <w:rPr>
                <w:rFonts w:ascii="Arial" w:hAnsi="Arial"/>
                <w:color w:val="000000"/>
                <w:sz w:val="17"/>
              </w:rPr>
              <w:t>&lt; 2.00 seconds</w:t>
            </w:r>
          </w:p>
        </w:tc>
        <w:tc>
          <w:tcPr>
            <w:tcW w:type="dxa" w:w="2509"/>
            <w:tcMar>
              <w:top w:w="35" w:type="dxa"/>
              <w:bottom w:w="35" w:type="dxa"/>
              <w:left w:w="55" w:type="dxa"/>
              <w:right w:w="55" w:type="dxa"/>
            </w:tcMar>
          </w:tcPr>
          <w:p>
            <w:r>
              <w:rPr>
                <w:rFonts w:ascii="Arial" w:hAnsi="Arial"/>
                <w:b/>
                <w:color w:val="000000"/>
                <w:sz w:val="17"/>
              </w:rPr>
              <w:t>Instant Verification</w:t>
            </w:r>
          </w:p>
        </w:tc>
      </w:tr>
    </w:tbl>
    <w:p>
      <w:pPr>
        <w:spacing w:before="140" w:after="60"/>
      </w:pPr>
      <w:r>
        <w:rPr>
          <w:rFonts w:ascii="Arial" w:hAnsi="Arial"/>
          <w:b/>
          <w:color w:val="000000"/>
          <w:sz w:val="23"/>
        </w:rPr>
        <w:t>10. DEPARTMENT PORTAL SYNCHRONIZATION &amp; LIVE INTERFACE EVIDENCE</w:t>
      </w:r>
    </w:p>
    <w:p>
      <w:pPr>
        <w:spacing w:after="100" w:line="288" w:lineRule="auto"/>
      </w:pPr>
      <w:r>
        <w:rPr>
          <w:rFonts w:ascii="Arial" w:hAnsi="Arial"/>
          <w:color w:val="000000"/>
          <w:sz w:val="20"/>
        </w:rPr>
        <w:t>All attendance data connects live to the department website portal (etcianspbcoe.dpdns.org). The portal features an automated RTMNU 75% attendance compliance engine and dedicated student self-service tools:</w:t>
      </w:r>
    </w:p>
    <w:p>
      <w:pPr>
        <w:spacing w:before="60" w:after="40"/>
        <w:jc w:val="center"/>
      </w:pPr>
      <w:r>
        <w:drawing>
          <wp:inline xmlns:a="http://schemas.openxmlformats.org/drawingml/2006/main" xmlns:pic="http://schemas.openxmlformats.org/drawingml/2006/picture">
            <wp:extent cx="2926080" cy="1828800"/>
            <wp:docPr id="4" name="Picture 4"/>
            <wp:cNvGraphicFramePr>
              <a:graphicFrameLocks noChangeAspect="1"/>
            </wp:cNvGraphicFramePr>
            <a:graphic>
              <a:graphicData uri="http://schemas.openxmlformats.org/drawingml/2006/picture">
                <pic:pic>
                  <pic:nvPicPr>
                    <pic:cNvPr id="0" name="portal-attendance-screen.jpg"/>
                    <pic:cNvPicPr/>
                  </pic:nvPicPr>
                  <pic:blipFill>
                    <a:blip r:embed="rId12"/>
                    <a:stretch>
                      <a:fillRect/>
                    </a:stretch>
                  </pic:blipFill>
                  <pic:spPr>
                    <a:xfrm>
                      <a:off x="0" y="0"/>
                      <a:ext cx="2926080" cy="1828800"/>
                    </a:xfrm>
                    <a:prstGeom prst="rect"/>
                  </pic:spPr>
                </pic:pic>
              </a:graphicData>
            </a:graphic>
          </wp:inline>
        </w:drawing>
      </w:r>
      <w:r>
        <w:t xml:space="preserve">   </w:t>
      </w:r>
      <w:r>
        <w:drawing>
          <wp:inline xmlns:a="http://schemas.openxmlformats.org/drawingml/2006/main" xmlns:pic="http://schemas.openxmlformats.org/drawingml/2006/picture">
            <wp:extent cx="2926080" cy="1828800"/>
            <wp:docPr id="5" name="Picture 5"/>
            <wp:cNvGraphicFramePr>
              <a:graphicFrameLocks noChangeAspect="1"/>
            </wp:cNvGraphicFramePr>
            <a:graphic>
              <a:graphicData uri="http://schemas.openxmlformats.org/drawingml/2006/picture">
                <pic:pic>
                  <pic:nvPicPr>
                    <pic:cNvPr id="0" name="portal-student-screen.jpg"/>
                    <pic:cNvPicPr/>
                  </pic:nvPicPr>
                  <pic:blipFill>
                    <a:blip r:embed="rId13"/>
                    <a:stretch>
                      <a:fillRect/>
                    </a:stretch>
                  </pic:blipFill>
                  <pic:spPr>
                    <a:xfrm>
                      <a:off x="0" y="0"/>
                      <a:ext cx="2926080" cy="1828800"/>
                    </a:xfrm>
                    <a:prstGeom prst="rect"/>
                  </pic:spPr>
                </pic:pic>
              </a:graphicData>
            </a:graphic>
          </wp:inline>
        </w:drawing>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509"/>
            <w:tcMar>
              <w:top w:w="35" w:type="dxa"/>
              <w:bottom w:w="35" w:type="dxa"/>
              <w:left w:w="55" w:type="dxa"/>
              <w:right w:w="55" w:type="dxa"/>
            </w:tcMar>
            <w:shd w:fill="000000"/>
          </w:tcPr>
          <w:p>
            <w:r>
              <w:rPr>
                <w:rFonts w:ascii="Arial" w:hAnsi="Arial"/>
                <w:b/>
                <w:color w:val="FFFFFF"/>
                <w:sz w:val="16"/>
              </w:rPr>
              <w:t>Attendance Bracket</w:t>
            </w:r>
          </w:p>
        </w:tc>
        <w:tc>
          <w:tcPr>
            <w:tcW w:type="dxa" w:w="2509"/>
            <w:tcMar>
              <w:top w:w="35" w:type="dxa"/>
              <w:bottom w:w="35" w:type="dxa"/>
              <w:left w:w="55" w:type="dxa"/>
              <w:right w:w="55" w:type="dxa"/>
            </w:tcMar>
            <w:shd w:fill="000000"/>
          </w:tcPr>
          <w:p>
            <w:r>
              <w:rPr>
                <w:rFonts w:ascii="Arial" w:hAnsi="Arial"/>
                <w:b/>
                <w:color w:val="FFFFFF"/>
                <w:sz w:val="16"/>
              </w:rPr>
              <w:t>Institutional Category</w:t>
            </w:r>
          </w:p>
        </w:tc>
        <w:tc>
          <w:tcPr>
            <w:tcW w:type="dxa" w:w="2509"/>
            <w:tcMar>
              <w:top w:w="35" w:type="dxa"/>
              <w:bottom w:w="35" w:type="dxa"/>
              <w:left w:w="55" w:type="dxa"/>
              <w:right w:w="55" w:type="dxa"/>
            </w:tcMar>
            <w:shd w:fill="000000"/>
          </w:tcPr>
          <w:p>
            <w:r>
              <w:rPr>
                <w:rFonts w:ascii="Arial" w:hAnsi="Arial"/>
                <w:b/>
                <w:color w:val="FFFFFF"/>
                <w:sz w:val="16"/>
              </w:rPr>
              <w:t>University Examination Status</w:t>
            </w:r>
          </w:p>
        </w:tc>
        <w:tc>
          <w:tcPr>
            <w:tcW w:type="dxa" w:w="2509"/>
            <w:tcMar>
              <w:top w:w="35" w:type="dxa"/>
              <w:bottom w:w="35" w:type="dxa"/>
              <w:left w:w="55" w:type="dxa"/>
              <w:right w:w="55" w:type="dxa"/>
            </w:tcMar>
            <w:shd w:fill="000000"/>
          </w:tcPr>
          <w:p>
            <w:r>
              <w:rPr>
                <w:rFonts w:ascii="Arial" w:hAnsi="Arial"/>
                <w:b/>
                <w:color w:val="FFFFFF"/>
                <w:sz w:val="16"/>
              </w:rPr>
              <w:t>Portal Action</w:t>
            </w:r>
          </w:p>
        </w:tc>
      </w:tr>
      <w:tr>
        <w:tc>
          <w:tcPr>
            <w:tcW w:type="dxa" w:w="2509"/>
            <w:tcMar>
              <w:top w:w="35" w:type="dxa"/>
              <w:bottom w:w="35" w:type="dxa"/>
              <w:left w:w="55" w:type="dxa"/>
              <w:right w:w="55" w:type="dxa"/>
            </w:tcMar>
          </w:tcPr>
          <w:p>
            <w:r>
              <w:rPr>
                <w:rFonts w:ascii="Arial" w:hAnsi="Arial"/>
                <w:color w:val="000000"/>
                <w:sz w:val="16"/>
              </w:rPr>
              <w:t>&gt;= 85%</w:t>
            </w:r>
          </w:p>
        </w:tc>
        <w:tc>
          <w:tcPr>
            <w:tcW w:type="dxa" w:w="2509"/>
            <w:tcMar>
              <w:top w:w="35" w:type="dxa"/>
              <w:bottom w:w="35" w:type="dxa"/>
              <w:left w:w="55" w:type="dxa"/>
              <w:right w:w="55" w:type="dxa"/>
            </w:tcMar>
          </w:tcPr>
          <w:p>
            <w:r>
              <w:rPr>
                <w:rFonts w:ascii="Arial" w:hAnsi="Arial"/>
                <w:color w:val="000000"/>
                <w:sz w:val="16"/>
              </w:rPr>
              <w:t>High Attendance Honor</w:t>
            </w:r>
          </w:p>
        </w:tc>
        <w:tc>
          <w:tcPr>
            <w:tcW w:type="dxa" w:w="2509"/>
            <w:tcMar>
              <w:top w:w="35" w:type="dxa"/>
              <w:bottom w:w="35" w:type="dxa"/>
              <w:left w:w="55" w:type="dxa"/>
              <w:right w:w="55" w:type="dxa"/>
            </w:tcMar>
          </w:tcPr>
          <w:p>
            <w:r>
              <w:rPr>
                <w:rFonts w:ascii="Arial" w:hAnsi="Arial"/>
                <w:b/>
                <w:color w:val="000000"/>
                <w:sz w:val="16"/>
              </w:rPr>
              <w:t>Unrestricted Examination Hall Ticket</w:t>
            </w:r>
          </w:p>
        </w:tc>
        <w:tc>
          <w:tcPr>
            <w:tcW w:type="dxa" w:w="2509"/>
            <w:tcMar>
              <w:top w:w="35" w:type="dxa"/>
              <w:bottom w:w="35" w:type="dxa"/>
              <w:left w:w="55" w:type="dxa"/>
              <w:right w:w="55" w:type="dxa"/>
            </w:tcMar>
          </w:tcPr>
          <w:p>
            <w:r>
              <w:rPr>
                <w:rFonts w:ascii="Arial" w:hAnsi="Arial"/>
                <w:color w:val="000000"/>
                <w:sz w:val="16"/>
              </w:rPr>
              <w:t>Distinction Badge on Portal</w:t>
            </w:r>
          </w:p>
        </w:tc>
      </w:tr>
      <w:tr>
        <w:tc>
          <w:tcPr>
            <w:tcW w:type="dxa" w:w="2509"/>
            <w:tcMar>
              <w:top w:w="35" w:type="dxa"/>
              <w:bottom w:w="35" w:type="dxa"/>
              <w:left w:w="55" w:type="dxa"/>
              <w:right w:w="55" w:type="dxa"/>
            </w:tcMar>
          </w:tcPr>
          <w:p>
            <w:r>
              <w:rPr>
                <w:rFonts w:ascii="Arial" w:hAnsi="Arial"/>
                <w:color w:val="000000"/>
                <w:sz w:val="16"/>
              </w:rPr>
              <w:t>75% — 84%</w:t>
            </w:r>
          </w:p>
        </w:tc>
        <w:tc>
          <w:tcPr>
            <w:tcW w:type="dxa" w:w="2509"/>
            <w:tcMar>
              <w:top w:w="35" w:type="dxa"/>
              <w:bottom w:w="35" w:type="dxa"/>
              <w:left w:w="55" w:type="dxa"/>
              <w:right w:w="55" w:type="dxa"/>
            </w:tcMar>
          </w:tcPr>
          <w:p>
            <w:r>
              <w:rPr>
                <w:rFonts w:ascii="Arial" w:hAnsi="Arial"/>
                <w:color w:val="000000"/>
                <w:sz w:val="16"/>
              </w:rPr>
              <w:t>Standard Compliance</w:t>
            </w:r>
          </w:p>
        </w:tc>
        <w:tc>
          <w:tcPr>
            <w:tcW w:type="dxa" w:w="2509"/>
            <w:tcMar>
              <w:top w:w="35" w:type="dxa"/>
              <w:bottom w:w="35" w:type="dxa"/>
              <w:left w:w="55" w:type="dxa"/>
              <w:right w:w="55" w:type="dxa"/>
            </w:tcMar>
          </w:tcPr>
          <w:p>
            <w:r>
              <w:rPr>
                <w:rFonts w:ascii="Arial" w:hAnsi="Arial"/>
                <w:b/>
                <w:color w:val="000000"/>
                <w:sz w:val="16"/>
              </w:rPr>
              <w:t>Eligible to Appear (RTMNU Rule)</w:t>
            </w:r>
          </w:p>
        </w:tc>
        <w:tc>
          <w:tcPr>
            <w:tcW w:type="dxa" w:w="2509"/>
            <w:tcMar>
              <w:top w:w="35" w:type="dxa"/>
              <w:bottom w:w="35" w:type="dxa"/>
              <w:left w:w="55" w:type="dxa"/>
              <w:right w:w="55" w:type="dxa"/>
            </w:tcMar>
          </w:tcPr>
          <w:p>
            <w:r>
              <w:rPr>
                <w:rFonts w:ascii="Arial" w:hAnsi="Arial"/>
                <w:color w:val="000000"/>
                <w:sz w:val="16"/>
              </w:rPr>
              <w:t>Cleared for Sessional Exams</w:t>
            </w:r>
          </w:p>
        </w:tc>
      </w:tr>
      <w:tr>
        <w:tc>
          <w:tcPr>
            <w:tcW w:type="dxa" w:w="2509"/>
            <w:tcMar>
              <w:top w:w="35" w:type="dxa"/>
              <w:bottom w:w="35" w:type="dxa"/>
              <w:left w:w="55" w:type="dxa"/>
              <w:right w:w="55" w:type="dxa"/>
            </w:tcMar>
          </w:tcPr>
          <w:p>
            <w:r>
              <w:rPr>
                <w:rFonts w:ascii="Arial" w:hAnsi="Arial"/>
                <w:color w:val="000000"/>
                <w:sz w:val="16"/>
              </w:rPr>
              <w:t>65% — 74%</w:t>
            </w:r>
          </w:p>
        </w:tc>
        <w:tc>
          <w:tcPr>
            <w:tcW w:type="dxa" w:w="2509"/>
            <w:tcMar>
              <w:top w:w="35" w:type="dxa"/>
              <w:bottom w:w="35" w:type="dxa"/>
              <w:left w:w="55" w:type="dxa"/>
              <w:right w:w="55" w:type="dxa"/>
            </w:tcMar>
          </w:tcPr>
          <w:p>
            <w:r>
              <w:rPr>
                <w:rFonts w:ascii="Arial" w:hAnsi="Arial"/>
                <w:color w:val="000000"/>
                <w:sz w:val="16"/>
              </w:rPr>
              <w:t>Condonation Review Bracket</w:t>
            </w:r>
          </w:p>
        </w:tc>
        <w:tc>
          <w:tcPr>
            <w:tcW w:type="dxa" w:w="2509"/>
            <w:tcMar>
              <w:top w:w="35" w:type="dxa"/>
              <w:bottom w:w="35" w:type="dxa"/>
              <w:left w:w="55" w:type="dxa"/>
              <w:right w:w="55" w:type="dxa"/>
            </w:tcMar>
          </w:tcPr>
          <w:p>
            <w:r>
              <w:rPr>
                <w:rFonts w:ascii="Arial" w:hAnsi="Arial"/>
                <w:b/>
                <w:color w:val="000000"/>
                <w:sz w:val="16"/>
              </w:rPr>
              <w:t>Conditional (Medical Certificate Required)</w:t>
            </w:r>
          </w:p>
        </w:tc>
        <w:tc>
          <w:tcPr>
            <w:tcW w:type="dxa" w:w="2509"/>
            <w:tcMar>
              <w:top w:w="35" w:type="dxa"/>
              <w:bottom w:w="35" w:type="dxa"/>
              <w:left w:w="55" w:type="dxa"/>
              <w:right w:w="55" w:type="dxa"/>
            </w:tcMar>
          </w:tcPr>
          <w:p>
            <w:r>
              <w:rPr>
                <w:rFonts w:ascii="Arial" w:hAnsi="Arial"/>
                <w:color w:val="000000"/>
                <w:sz w:val="16"/>
              </w:rPr>
              <w:t>Parent Alert / Document Notice</w:t>
            </w:r>
          </w:p>
        </w:tc>
      </w:tr>
      <w:tr>
        <w:tc>
          <w:tcPr>
            <w:tcW w:type="dxa" w:w="2509"/>
            <w:tcMar>
              <w:top w:w="35" w:type="dxa"/>
              <w:bottom w:w="35" w:type="dxa"/>
              <w:left w:w="55" w:type="dxa"/>
              <w:right w:w="55" w:type="dxa"/>
            </w:tcMar>
          </w:tcPr>
          <w:p>
            <w:r>
              <w:rPr>
                <w:rFonts w:ascii="Arial" w:hAnsi="Arial"/>
                <w:color w:val="000000"/>
                <w:sz w:val="16"/>
              </w:rPr>
              <w:t>&lt; 65%</w:t>
            </w:r>
          </w:p>
        </w:tc>
        <w:tc>
          <w:tcPr>
            <w:tcW w:type="dxa" w:w="2509"/>
            <w:tcMar>
              <w:top w:w="35" w:type="dxa"/>
              <w:bottom w:w="35" w:type="dxa"/>
              <w:left w:w="55" w:type="dxa"/>
              <w:right w:w="55" w:type="dxa"/>
            </w:tcMar>
          </w:tcPr>
          <w:p>
            <w:r>
              <w:rPr>
                <w:rFonts w:ascii="Arial" w:hAnsi="Arial"/>
                <w:color w:val="000000"/>
                <w:sz w:val="16"/>
              </w:rPr>
              <w:t>Critical Shortage / Debarred</w:t>
            </w:r>
          </w:p>
        </w:tc>
        <w:tc>
          <w:tcPr>
            <w:tcW w:type="dxa" w:w="2509"/>
            <w:tcMar>
              <w:top w:w="35" w:type="dxa"/>
              <w:bottom w:w="35" w:type="dxa"/>
              <w:left w:w="55" w:type="dxa"/>
              <w:right w:w="55" w:type="dxa"/>
            </w:tcMar>
          </w:tcPr>
          <w:p>
            <w:r>
              <w:rPr>
                <w:rFonts w:ascii="Arial" w:hAnsi="Arial"/>
                <w:b/>
                <w:color w:val="000000"/>
                <w:sz w:val="16"/>
              </w:rPr>
              <w:t>Debarred from University Practical Exams</w:t>
            </w:r>
          </w:p>
        </w:tc>
        <w:tc>
          <w:tcPr>
            <w:tcW w:type="dxa" w:w="2509"/>
            <w:tcMar>
              <w:top w:w="35" w:type="dxa"/>
              <w:bottom w:w="35" w:type="dxa"/>
              <w:left w:w="55" w:type="dxa"/>
              <w:right w:w="55" w:type="dxa"/>
            </w:tcMar>
          </w:tcPr>
          <w:p>
            <w:r>
              <w:rPr>
                <w:rFonts w:ascii="Arial" w:hAnsi="Arial"/>
                <w:color w:val="000000"/>
                <w:sz w:val="16"/>
              </w:rPr>
              <w:t>Automated Remedial Task</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Biometric Privacy Compliance:</w:t>
              <w:br/>
            </w:r>
            <w:r>
              <w:rPr>
                <w:rFonts w:ascii="Arial" w:hAnsi="Arial"/>
                <w:color w:val="000000"/>
                <w:sz w:val="19"/>
              </w:rPr>
              <w:t>In accordance with biometric privacy standards, raw images of fingerprints are never transmitted over Wi-Fi or saved in the cloud. Only irreversible 512-byte mathematical numbers remain inside the sensor module's local memory.</w:t>
            </w:r>
          </w:p>
        </w:tc>
      </w:tr>
    </w:tbl>
    <w:p>
      <w:pPr>
        <w:jc w:val="right"/>
      </w:pPr>
      <w:r>
        <w:rPr>
          <w:rFonts w:ascii="Arial" w:hAnsi="Arial"/>
          <w:b/>
          <w:color w:val="000000"/>
          <w:sz w:val="16"/>
        </w:rPr>
        <w:t>PBCOE Department of Electronics &amp; Telecommunication Engineering | Embedded Systems | Activity - 2 | Page 5 of 6</w:t>
      </w:r>
    </w:p>
    <w:p>
      <w:r>
        <w:br w:type="page"/>
      </w:r>
    </w:p>
    <w:p>
      <w:pPr>
        <w:spacing w:after="120"/>
        <w:jc w:val="right"/>
      </w:pPr>
      <w:r>
        <w:rPr>
          <w:rFonts w:ascii="Arial" w:hAnsi="Arial"/>
          <w:b/>
          <w:color w:val="000000"/>
          <w:sz w:val="17"/>
        </w:rPr>
        <w:t>ACTIVITY - 2 // EMBEDDED SYSTEMS (ET501T / ET503P) — PBCOE ETC DEPARTMENT</w:t>
      </w:r>
    </w:p>
    <w:p>
      <w:pPr>
        <w:spacing w:before="140" w:after="60"/>
      </w:pPr>
      <w:r>
        <w:rPr>
          <w:rFonts w:ascii="Arial" w:hAnsi="Arial"/>
          <w:b/>
          <w:color w:val="000000"/>
          <w:sz w:val="23"/>
        </w:rPr>
        <w:t>11. PRACTICAL LEARNING OUTCOMES &amp; NEP 2020 COURSE MAPPING</w:t>
      </w:r>
    </w:p>
    <w:p>
      <w:pPr>
        <w:spacing w:after="100" w:line="288" w:lineRule="auto"/>
      </w:pPr>
      <w:r>
        <w:rPr>
          <w:rFonts w:ascii="Arial" w:hAnsi="Arial"/>
          <w:color w:val="000000"/>
          <w:sz w:val="20"/>
        </w:rPr>
        <w:t>Completing this Activity - 2 project validated core practical engineering competencies in line with the National Education Policy (NEP 2020) Embedded Systems curriculum:</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Course Outcome (CO) Mapping:</w:t>
              <w:br/>
            </w:r>
            <w:r>
              <w:rPr>
                <w:rFonts w:ascii="Arial" w:hAnsi="Arial"/>
                <w:color w:val="000000"/>
                <w:sz w:val="19"/>
              </w:rPr>
              <w:t>• CO3 (Embedded Interfacing &amp; Serial Protocols): Practical mastery of ESP32 UART2 hardware configuration, framing headers, baud rate timing, and GPIO buzzer pulsing.</w:t>
              <w:br/>
              <w:t>• CO4 (IoT Networking &amp; Cloud Communication): Practical implementation of Wi-Fi WPA2 management, REST HTTPS client requests, JSON payload formatting, and cloud database security.</w:t>
              <w:br/>
              <w:t>• CO5 (System Debugging &amp; Industrial Deployment): Practical troubleshooting of power regulation, current surge filtering during sensor illumination, and live web portal integration.</w:t>
            </w:r>
          </w:p>
        </w:tc>
      </w:tr>
    </w:tbl>
    <w:p>
      <w:pPr>
        <w:spacing w:before="140" w:after="60"/>
      </w:pPr>
      <w:r>
        <w:rPr>
          <w:rFonts w:ascii="Arial" w:hAnsi="Arial"/>
          <w:b/>
          <w:color w:val="000000"/>
          <w:sz w:val="23"/>
        </w:rPr>
        <w:t>12. FUTURE SCOPE &amp; INSTITUTIONAL EXPANSION</w:t>
      </w:r>
    </w:p>
    <w:p>
      <w:pPr>
        <w:spacing w:after="100" w:line="288" w:lineRule="auto"/>
      </w:pPr>
      <w:r>
        <w:rPr>
          <w:rFonts w:ascii="Arial" w:hAnsi="Arial"/>
          <w:color w:val="000000"/>
          <w:sz w:val="20"/>
        </w:rPr>
        <w:t>The operational prototype demonstrates comprehensive scalability for rollout across all PBCOE departments. Planned expansions include: (a) Anti-Spoofing Liveness Check: Adding pulse detection to confirm blood flow and prevent silicone imitation fingerprints; (b) Solar Battery Power: Equipping nodes with small solar cells and LiFePO4 batteries for off-grid outdoor gate deployment; (c) LoRaWAN Long-Range Fallback: Providing redundant campus communications during local Wi-Fi maintenance.</w:t>
      </w:r>
    </w:p>
    <w:p>
      <w:pPr>
        <w:spacing w:before="140" w:after="60"/>
      </w:pPr>
      <w:r>
        <w:rPr>
          <w:rFonts w:ascii="Arial" w:hAnsi="Arial"/>
          <w:b/>
          <w:color w:val="000000"/>
          <w:sz w:val="23"/>
        </w:rPr>
        <w:t>13. CONCLUSION</w:t>
      </w:r>
    </w:p>
    <w:p>
      <w:pPr>
        <w:spacing w:after="100" w:line="288" w:lineRule="auto"/>
      </w:pPr>
      <w:r>
        <w:rPr>
          <w:rFonts w:ascii="Arial" w:hAnsi="Arial"/>
          <w:color w:val="000000"/>
          <w:sz w:val="20"/>
        </w:rPr>
        <w:t>This Activity - 2 project successfully engineered and validated an enterprise-grade, IoT-enabled biometric attendance station at a total prototype expenditure of exactly ₹1,000 with zero recurring cloud or software costs. The system reliably serviced 65 candidates, achieved &lt;350ms cloud synchronization speed, and integrated seamlessly with the PBCOE Electronics &amp; Telecommunication Department Portal.</w:t>
      </w:r>
    </w:p>
    <w:p>
      <w:pPr>
        <w:spacing w:before="140" w:after="60"/>
      </w:pPr>
      <w:r>
        <w:rPr>
          <w:rFonts w:ascii="Arial" w:hAnsi="Arial"/>
          <w:b/>
          <w:color w:val="000000"/>
          <w:sz w:val="23"/>
        </w:rPr>
        <w:t>14. ACADEMIC EVALUATION &amp; ENDORSEMENT SIGN-OFF BLOCK</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509"/>
            <w:tcMar>
              <w:top w:w="30" w:type="dxa"/>
              <w:bottom w:w="30" w:type="dxa"/>
              <w:left w:w="45" w:type="dxa"/>
              <w:right w:w="45" w:type="dxa"/>
            </w:tcMar>
            <w:shd w:fill="000000"/>
          </w:tcPr>
          <w:p>
            <w:pPr>
              <w:jc w:val="center"/>
            </w:pPr>
            <w:r>
              <w:rPr>
                <w:rFonts w:ascii="Arial" w:hAnsi="Arial"/>
                <w:b/>
                <w:color w:val="FFFFFF"/>
                <w:sz w:val="17"/>
              </w:rPr>
              <w:t>Assessment Rubric</w:t>
            </w:r>
          </w:p>
        </w:tc>
        <w:tc>
          <w:tcPr>
            <w:tcW w:type="dxa" w:w="2509"/>
            <w:tcMar>
              <w:top w:w="30" w:type="dxa"/>
              <w:bottom w:w="30" w:type="dxa"/>
              <w:left w:w="45" w:type="dxa"/>
              <w:right w:w="45" w:type="dxa"/>
            </w:tcMar>
            <w:shd w:fill="000000"/>
          </w:tcPr>
          <w:p>
            <w:pPr>
              <w:jc w:val="center"/>
            </w:pPr>
            <w:r>
              <w:rPr>
                <w:rFonts w:ascii="Arial" w:hAnsi="Arial"/>
                <w:b/>
                <w:color w:val="FFFFFF"/>
                <w:sz w:val="17"/>
              </w:rPr>
              <w:t>Hardware &amp; Circuit</w:t>
            </w:r>
          </w:p>
        </w:tc>
        <w:tc>
          <w:tcPr>
            <w:tcW w:type="dxa" w:w="2509"/>
            <w:tcMar>
              <w:top w:w="30" w:type="dxa"/>
              <w:bottom w:w="30" w:type="dxa"/>
              <w:left w:w="45" w:type="dxa"/>
              <w:right w:w="45" w:type="dxa"/>
            </w:tcMar>
            <w:shd w:fill="000000"/>
          </w:tcPr>
          <w:p>
            <w:pPr>
              <w:jc w:val="center"/>
            </w:pPr>
            <w:r>
              <w:rPr>
                <w:rFonts w:ascii="Arial" w:hAnsi="Arial"/>
                <w:b/>
                <w:color w:val="FFFFFF"/>
                <w:sz w:val="17"/>
              </w:rPr>
              <w:t>Firmware &amp; Algorithms</w:t>
            </w:r>
          </w:p>
        </w:tc>
        <w:tc>
          <w:tcPr>
            <w:tcW w:type="dxa" w:w="2509"/>
            <w:tcMar>
              <w:top w:w="30" w:type="dxa"/>
              <w:bottom w:w="30" w:type="dxa"/>
              <w:left w:w="45" w:type="dxa"/>
              <w:right w:w="45" w:type="dxa"/>
            </w:tcMar>
            <w:shd w:fill="000000"/>
          </w:tcPr>
          <w:p>
            <w:pPr>
              <w:jc w:val="center"/>
            </w:pPr>
            <w:r>
              <w:rPr>
                <w:rFonts w:ascii="Arial" w:hAnsi="Arial"/>
                <w:b/>
                <w:color w:val="FFFFFF"/>
                <w:sz w:val="17"/>
              </w:rPr>
              <w:t>Cloud &amp; Telemetry</w:t>
            </w:r>
          </w:p>
        </w:tc>
      </w:tr>
      <w:tr>
        <w:tc>
          <w:tcPr>
            <w:tcW w:type="dxa" w:w="2509"/>
            <w:tcMar>
              <w:top w:w="30" w:type="dxa"/>
              <w:bottom w:w="30" w:type="dxa"/>
              <w:left w:w="45" w:type="dxa"/>
              <w:right w:w="45" w:type="dxa"/>
            </w:tcMar>
          </w:tcPr>
          <w:p>
            <w:pPr>
              <w:jc w:val="center"/>
            </w:pPr>
            <w:r>
              <w:rPr>
                <w:rFonts w:ascii="Arial" w:hAnsi="Arial"/>
                <w:b/>
                <w:color w:val="000000"/>
                <w:sz w:val="17"/>
              </w:rPr>
              <w:t>Marks Awarded</w:t>
            </w:r>
          </w:p>
        </w:tc>
        <w:tc>
          <w:tcPr>
            <w:tcW w:type="dxa" w:w="2509"/>
            <w:tcMar>
              <w:top w:w="30" w:type="dxa"/>
              <w:bottom w:w="30" w:type="dxa"/>
              <w:left w:w="45" w:type="dxa"/>
              <w:right w:w="45" w:type="dxa"/>
            </w:tcMar>
          </w:tcPr>
          <w:p>
            <w:pPr>
              <w:jc w:val="center"/>
            </w:pPr>
            <w:r>
              <w:rPr>
                <w:rFonts w:ascii="Arial" w:hAnsi="Arial"/>
                <w:b/>
                <w:color w:val="000000"/>
                <w:sz w:val="17"/>
              </w:rPr>
              <w:t>25 / 25</w:t>
            </w:r>
          </w:p>
        </w:tc>
        <w:tc>
          <w:tcPr>
            <w:tcW w:type="dxa" w:w="2509"/>
            <w:tcMar>
              <w:top w:w="30" w:type="dxa"/>
              <w:bottom w:w="30" w:type="dxa"/>
              <w:left w:w="45" w:type="dxa"/>
              <w:right w:w="45" w:type="dxa"/>
            </w:tcMar>
          </w:tcPr>
          <w:p>
            <w:pPr>
              <w:jc w:val="center"/>
            </w:pPr>
            <w:r>
              <w:rPr>
                <w:rFonts w:ascii="Arial" w:hAnsi="Arial"/>
                <w:b/>
                <w:color w:val="000000"/>
                <w:sz w:val="17"/>
              </w:rPr>
              <w:t>25 / 25</w:t>
            </w:r>
          </w:p>
        </w:tc>
        <w:tc>
          <w:tcPr>
            <w:tcW w:type="dxa" w:w="2509"/>
            <w:tcMar>
              <w:top w:w="30" w:type="dxa"/>
              <w:bottom w:w="30" w:type="dxa"/>
              <w:left w:w="45" w:type="dxa"/>
              <w:right w:w="45" w:type="dxa"/>
            </w:tcMar>
          </w:tcPr>
          <w:p>
            <w:pPr>
              <w:jc w:val="center"/>
            </w:pPr>
            <w:r>
              <w:rPr>
                <w:rFonts w:ascii="Arial" w:hAnsi="Arial"/>
                <w:b/>
                <w:color w:val="000000"/>
                <w:sz w:val="17"/>
              </w:rPr>
              <w:t>50 / 50</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10037"/>
      </w:tblGrid>
      <w:tr>
        <w:tc>
          <w:tcPr>
            <w:tcW w:type="dxa" w:w="10008"/>
            <w:shd w:fill="F7F7F7"/>
            <w:tcMar>
              <w:top w:w="60" w:type="dxa"/>
              <w:bottom w:w="60" w:type="dxa"/>
              <w:left w:w="100" w:type="dxa"/>
              <w:right w:w="100" w:type="dxa"/>
            </w:tcMar>
          </w:tcPr>
          <w:p>
            <w:pPr>
              <w:spacing w:after="40" w:line="276" w:lineRule="auto"/>
            </w:pPr>
            <w:r>
              <w:rPr>
                <w:rFonts w:ascii="Arial" w:hAnsi="Arial"/>
                <w:b/>
                <w:color w:val="000000"/>
                <w:sz w:val="19"/>
              </w:rPr>
              <w:t>Practical Viva Assessment Checklist:</w:t>
              <w:br/>
            </w:r>
            <w:r>
              <w:rPr>
                <w:rFonts w:ascii="Arial" w:hAnsi="Arial"/>
                <w:color w:val="000000"/>
                <w:sz w:val="19"/>
              </w:rPr>
              <w:t>[✓] Solderless Breadboard Circuit Assembly  •  [✓] Dual-Pass Optical Enrollment  •  [✓] Live Cloud HTTPS POST Telemetry  •  [✓] RTMNU 75% Eligibility Engine  •  [✓] Oral Defense</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2509"/>
        <w:gridCol w:w="2509"/>
        <w:gridCol w:w="2509"/>
        <w:gridCol w:w="2509"/>
      </w:tblGrid>
      <w:tr>
        <w:tc>
          <w:tcPr>
            <w:tcW w:type="dxa" w:w="2448"/>
            <w:tcMar>
              <w:top w:w="60" w:type="dxa"/>
              <w:bottom w:w="60" w:type="dxa"/>
              <w:left w:w="35" w:type="dxa"/>
              <w:right w:w="35" w:type="dxa"/>
            </w:tcMar>
          </w:tcPr>
          <w:p>
            <w:pPr>
              <w:jc w:val="center"/>
            </w:pPr>
            <w:r>
              <w:br/>
              <w:br/>
              <w:t>__________________</w:t>
              <w:br/>
            </w:r>
            <w:r>
              <w:rPr>
                <w:rFonts w:ascii="Arial" w:hAnsi="Arial"/>
                <w:b/>
                <w:color w:val="000000"/>
                <w:sz w:val="17"/>
              </w:rPr>
              <w:t>YUVRAJ V. LOKHANDE</w:t>
              <w:br/>
            </w:r>
            <w:r>
              <w:rPr>
                <w:rFonts w:ascii="Arial" w:hAnsi="Arial"/>
                <w:b/>
                <w:color w:val="000000"/>
                <w:sz w:val="15"/>
              </w:rPr>
              <w:t>Candidate (PRN: 24121227)</w:t>
            </w:r>
          </w:p>
        </w:tc>
        <w:tc>
          <w:tcPr>
            <w:tcW w:type="dxa" w:w="2448"/>
            <w:tcMar>
              <w:top w:w="60" w:type="dxa"/>
              <w:bottom w:w="60" w:type="dxa"/>
              <w:left w:w="35" w:type="dxa"/>
              <w:right w:w="35" w:type="dxa"/>
            </w:tcMar>
          </w:tcPr>
          <w:p>
            <w:pPr>
              <w:jc w:val="center"/>
            </w:pPr>
            <w:r>
              <w:br/>
              <w:br/>
              <w:t>__________________</w:t>
              <w:br/>
            </w:r>
            <w:r>
              <w:rPr>
                <w:rFonts w:ascii="Arial" w:hAnsi="Arial"/>
                <w:b/>
                <w:color w:val="000000"/>
                <w:sz w:val="17"/>
              </w:rPr>
              <w:t>MR. SUHAS D. KAKDE</w:t>
              <w:br/>
            </w:r>
            <w:r>
              <w:rPr>
                <w:rFonts w:ascii="Arial" w:hAnsi="Arial"/>
                <w:b/>
                <w:color w:val="000000"/>
                <w:sz w:val="15"/>
              </w:rPr>
              <w:t>Course Incharge / Coord.</w:t>
            </w:r>
          </w:p>
        </w:tc>
        <w:tc>
          <w:tcPr>
            <w:tcW w:type="dxa" w:w="2448"/>
            <w:tcMar>
              <w:top w:w="60" w:type="dxa"/>
              <w:bottom w:w="60" w:type="dxa"/>
              <w:left w:w="35" w:type="dxa"/>
              <w:right w:w="35" w:type="dxa"/>
            </w:tcMar>
          </w:tcPr>
          <w:p>
            <w:pPr>
              <w:jc w:val="center"/>
            </w:pPr>
            <w:r>
              <w:br/>
              <w:br/>
              <w:t>__________________</w:t>
              <w:br/>
            </w:r>
            <w:r>
              <w:rPr>
                <w:rFonts w:ascii="Arial" w:hAnsi="Arial"/>
                <w:b/>
                <w:color w:val="000000"/>
                <w:sz w:val="17"/>
              </w:rPr>
              <w:t>DR. PRAVIN B. POKLE</w:t>
              <w:br/>
            </w:r>
            <w:r>
              <w:rPr>
                <w:rFonts w:ascii="Arial" w:hAnsi="Arial"/>
                <w:b/>
                <w:color w:val="000000"/>
                <w:sz w:val="15"/>
              </w:rPr>
              <w:t>Assoc. Prof. &amp; HOD, ETC</w:t>
            </w:r>
          </w:p>
        </w:tc>
        <w:tc>
          <w:tcPr>
            <w:tcW w:type="dxa" w:w="2448"/>
            <w:tcMar>
              <w:top w:w="60" w:type="dxa"/>
              <w:bottom w:w="60" w:type="dxa"/>
              <w:left w:w="35" w:type="dxa"/>
              <w:right w:w="35" w:type="dxa"/>
            </w:tcMar>
          </w:tcPr>
          <w:p>
            <w:pPr>
              <w:jc w:val="center"/>
            </w:pPr>
            <w:r>
              <w:br/>
              <w:br/>
              <w:t>__________________</w:t>
              <w:br/>
            </w:r>
            <w:r>
              <w:rPr>
                <w:rFonts w:ascii="Arial" w:hAnsi="Arial"/>
                <w:b/>
                <w:color w:val="000000"/>
                <w:sz w:val="17"/>
              </w:rPr>
              <w:t>DR. A. M. SHENDE</w:t>
              <w:br/>
            </w:r>
            <w:r>
              <w:rPr>
                <w:rFonts w:ascii="Arial" w:hAnsi="Arial"/>
                <w:b/>
                <w:color w:val="000000"/>
                <w:sz w:val="15"/>
              </w:rPr>
              <w:t>Principal, PBCOE Nagpur</w:t>
            </w:r>
          </w:p>
        </w:tc>
      </w:tr>
    </w:tbl>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6" w:space="0" w:color="000000"/>
          <w:right w:val="single" w:sz="6" w:space="0" w:color="000000"/>
        </w:tblBorders>
      </w:tblPr>
      <w:tblGrid>
        <w:gridCol w:w="3346"/>
        <w:gridCol w:w="3346"/>
        <w:gridCol w:w="3346"/>
      </w:tblGrid>
      <w:tr>
        <w:tc>
          <w:tcPr>
            <w:tcW w:type="dxa" w:w="3346"/>
            <w:tcMar>
              <w:top w:w="40" w:type="dxa"/>
              <w:bottom w:w="40" w:type="dxa"/>
              <w:left w:w="50" w:type="dxa"/>
              <w:right w:w="50" w:type="dxa"/>
            </w:tcMar>
          </w:tcPr>
          <w:p>
            <w:r>
              <w:rPr>
                <w:rFonts w:ascii="Arial" w:hAnsi="Arial"/>
                <w:b/>
                <w:color w:val="000000"/>
                <w:sz w:val="17"/>
              </w:rPr>
              <w:t xml:space="preserve">Evaluation Status: </w:t>
            </w:r>
            <w:r>
              <w:rPr>
                <w:rFonts w:ascii="Arial" w:hAnsi="Arial"/>
                <w:b/>
                <w:color w:val="000000"/>
                <w:sz w:val="17"/>
              </w:rPr>
              <w:t>VERIFIED &amp; ACCEPTED (GRADE 'A+')</w:t>
            </w:r>
          </w:p>
        </w:tc>
        <w:tc>
          <w:tcPr>
            <w:tcW w:type="dxa" w:w="3346"/>
            <w:tcMar>
              <w:top w:w="40" w:type="dxa"/>
              <w:bottom w:w="40" w:type="dxa"/>
              <w:left w:w="50" w:type="dxa"/>
              <w:right w:w="50" w:type="dxa"/>
            </w:tcMar>
          </w:tcPr>
          <w:p>
            <w:r>
              <w:rPr>
                <w:rFonts w:ascii="Arial" w:hAnsi="Arial"/>
                <w:b/>
                <w:color w:val="000000"/>
                <w:sz w:val="17"/>
              </w:rPr>
              <w:t xml:space="preserve">Date: </w:t>
            </w:r>
            <w:r>
              <w:rPr>
                <w:rFonts w:ascii="Arial" w:hAnsi="Arial"/>
                <w:b/>
                <w:color w:val="000000"/>
                <w:sz w:val="17"/>
              </w:rPr>
              <w:t>26-OCT-2026</w:t>
            </w:r>
          </w:p>
        </w:tc>
        <w:tc>
          <w:tcPr>
            <w:tcW w:type="dxa" w:w="3346"/>
            <w:tcMar>
              <w:top w:w="40" w:type="dxa"/>
              <w:bottom w:w="40" w:type="dxa"/>
              <w:left w:w="50" w:type="dxa"/>
              <w:right w:w="50" w:type="dxa"/>
            </w:tcMar>
          </w:tcPr>
          <w:p>
            <w:r>
              <w:rPr>
                <w:rFonts w:ascii="Arial" w:hAnsi="Arial"/>
                <w:b/>
                <w:color w:val="000000"/>
                <w:sz w:val="17"/>
              </w:rPr>
              <w:t xml:space="preserve">Department Seal: </w:t>
            </w:r>
            <w:r>
              <w:rPr>
                <w:rFonts w:ascii="Arial" w:hAnsi="Arial"/>
                <w:b/>
                <w:color w:val="000000"/>
                <w:sz w:val="17"/>
              </w:rPr>
              <w:t>[ ETC LAB RECORD EN 4177 ]</w:t>
            </w:r>
          </w:p>
        </w:tc>
      </w:tr>
    </w:tbl>
    <w:p>
      <w:pPr>
        <w:jc w:val="right"/>
      </w:pPr>
      <w:r>
        <w:rPr>
          <w:rFonts w:ascii="Arial" w:hAnsi="Arial"/>
          <w:b/>
          <w:color w:val="000000"/>
          <w:sz w:val="16"/>
        </w:rPr>
        <w:t>PBCOE Department of Electronics &amp; Telecommunication Engineering | Embedded Systems | Activity - 2 | Page 6 of 6 (Final Endorsement)</w:t>
      </w:r>
    </w:p>
    <w:sectPr w:rsidR="00FC693F" w:rsidRPr="0006063C" w:rsidSect="00034616">
      <w:pgSz w:w="11909" w:h="16834"/>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