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Software Risk Management Plan – </w:t>
      </w:r>
      <w:r>
        <w:rPr/>
        <w:t>Food Classification System</w:t>
      </w:r>
    </w:p>
    <w:p>
      <w:pPr>
        <w:pStyle w:val="Heading2"/>
        <w:jc w:val="both"/>
        <w:rPr/>
      </w:pPr>
      <w:r>
        <w:rPr/>
        <w:t>1. Introduction</w:t>
      </w:r>
    </w:p>
    <w:p>
      <w:pPr>
        <w:pStyle w:val="Normal"/>
        <w:jc w:val="both"/>
        <w:rPr/>
      </w:pPr>
      <w:r>
        <w:rPr/>
        <w:t>This document identifies and manages project risks.</w:t>
      </w:r>
    </w:p>
    <w:p>
      <w:pPr>
        <w:pStyle w:val="Heading2"/>
        <w:jc w:val="both"/>
        <w:rPr/>
      </w:pPr>
      <w:r>
        <w:rPr/>
        <w:t>2. Risk Identification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Technical Risks:</w:t>
      </w:r>
      <w:r>
        <w:rPr/>
        <w:t xml:space="preserve"> Potential low classification accuracy (below the 85% requirement) for complex food images.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Schedule Risks:</w:t>
      </w:r>
      <w:r>
        <w:rPr/>
        <w:t xml:space="preserve"> Delays in integrating the Flask backend with external nutritional APIs (USDA/Nutritionix)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Cost Risks:</w:t>
      </w:r>
      <w:r>
        <w:rPr/>
        <w:t xml:space="preserve"> Unexpected expenses related to cloud hosting for the deep learning model and data layer.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Resource Risks:</w:t>
      </w:r>
      <w:r>
        <w:rPr>
          <w:color w:val="2A6099"/>
        </w:rPr>
        <w:t xml:space="preserve"> </w:t>
      </w:r>
      <w:r>
        <w:rPr/>
        <w:t xml:space="preserve">Lack of specialized hardware (GPUs) required for efficient CNN model training and inference. </w:t>
      </w:r>
    </w:p>
    <w:p>
      <w:pPr>
        <w:pStyle w:val="Heading2"/>
        <w:jc w:val="both"/>
        <w:rPr/>
      </w:pPr>
      <w:r>
        <w:rPr/>
        <w:t>3. Risk Analysis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Accuracy/Confidence Impact:</w:t>
      </w:r>
      <w:r>
        <w:rPr/>
        <w:t xml:space="preserve"> Low accuracy or confidence has a </w:t>
      </w:r>
      <w:r>
        <w:rPr>
          <w:b w:val="false"/>
          <w:bCs w:val="false"/>
        </w:rPr>
        <w:t>high impact</w:t>
      </w:r>
      <w:r>
        <w:rPr/>
        <w:t xml:space="preserve"> on user trust and the reliability of caloric feedback.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Performance Probability:</w:t>
      </w:r>
      <w:r>
        <w:rPr/>
        <w:t xml:space="preserve"> Medium probability of high latency during real-time inference, which could violate the 3-second display requirement. </w:t>
      </w:r>
    </w:p>
    <w:p>
      <w:pPr>
        <w:pStyle w:val="Heading2"/>
        <w:jc w:val="both"/>
        <w:rPr/>
      </w:pPr>
      <w:r>
        <w:rPr/>
        <w:t>4. Risk Mitigation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Accuracy/Confidence Strategy:</w:t>
      </w:r>
      <w:r>
        <w:rPr/>
        <w:t xml:space="preserve"> Use Transfer Learning with pre-trained models like InceptionV3 or ResNet to boost precision.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Performance Strategy:</w:t>
      </w:r>
      <w:r>
        <w:rPr>
          <w:color w:val="2A6099"/>
        </w:rPr>
        <w:t xml:space="preserve"> </w:t>
      </w:r>
      <w:r>
        <w:rPr/>
        <w:t xml:space="preserve">Optimize image preprocessing (resizing/normalization) and use efficient architectures like MobileNetV2 to ensure real-time response. </w:t>
      </w:r>
    </w:p>
    <w:p>
      <w:pPr>
        <w:pStyle w:val="Heading2"/>
        <w:jc w:val="both"/>
        <w:rPr/>
      </w:pPr>
      <w:r>
        <w:rPr/>
        <w:t>5. Risk Monitoring</w:t>
      </w:r>
    </w:p>
    <w:p>
      <w:pPr>
        <w:pStyle w:val="Normal"/>
        <w:ind w:hanging="0" w:start="0" w:end="0"/>
        <w:jc w:val="both"/>
        <w:rPr/>
      </w:pPr>
      <w:r>
        <w:rPr>
          <w:b/>
          <w:color w:val="2A6099"/>
        </w:rPr>
        <w:t>Continuous Review:</w:t>
      </w:r>
      <w:r>
        <w:rPr/>
        <w:t xml:space="preserve"> The System Admin will monitor model performance and system health post-deployment.</w:t>
      </w:r>
    </w:p>
    <w:p>
      <w:pPr>
        <w:pStyle w:val="Normal"/>
        <w:spacing w:before="0" w:after="200"/>
        <w:ind w:hanging="0" w:start="0" w:end="0"/>
        <w:jc w:val="both"/>
        <w:rPr/>
      </w:pPr>
      <w:r>
        <w:rPr>
          <w:b/>
          <w:color w:val="2A6099"/>
        </w:rPr>
        <w:t>Control:</w:t>
      </w:r>
      <w:r>
        <w:rPr/>
        <w:t xml:space="preserve"> Regular validation of the 85% accuracy threshold on updated test sets to prevent model degradation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2C723BBD633A47A4604EB3DB04DFEA" ma:contentTypeVersion="3" ma:contentTypeDescription="Create a new document." ma:contentTypeScope="" ma:versionID="5a801aa3f8455526873c26a0d7e4d153">
  <xsd:schema xmlns:xsd="http://www.w3.org/2001/XMLSchema" xmlns:xs="http://www.w3.org/2001/XMLSchema" xmlns:p="http://schemas.microsoft.com/office/2006/metadata/properties" xmlns:ns2="1b12e6ae-a520-4038-8aae-28c8b9dd7065" targetNamespace="http://schemas.microsoft.com/office/2006/metadata/properties" ma:root="true" ma:fieldsID="65f9ba63222af8424e90479e39f237c8" ns2:_="">
    <xsd:import namespace="1b12e6ae-a520-4038-8aae-28c8b9dd70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2e6ae-a520-4038-8aae-28c8b9dd70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EB8E31-65A9-411E-B50A-00DF9A85ECDE}"/>
</file>

<file path=customXml/itemProps3.xml><?xml version="1.0" encoding="utf-8"?>
<ds:datastoreItem xmlns:ds="http://schemas.openxmlformats.org/officeDocument/2006/customXml" ds:itemID="{54EC880E-780F-449F-9A31-1279D1C62BF4}"/>
</file>

<file path=customXml/itemProps4.xml><?xml version="1.0" encoding="utf-8"?>
<ds:datastoreItem xmlns:ds="http://schemas.openxmlformats.org/officeDocument/2006/customXml" ds:itemID="{A7678BE7-D2C5-42CC-B5EF-CBF4E07541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LibreOffice/25.8.4.2$Windows_X86_64 LibreOffice_project/290daaa01b999472f0c7a3890eb6a550fd74c6df</Application>
  <AppVersion>15.0000</AppVersion>
  <Pages>1</Pages>
  <Words>182</Words>
  <Characters>1204</Characters>
  <CharactersWithSpaces>1374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2026-01-29T02:00:30Z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0x010100332C723BBD633A47A4604EB3DB04DFEA</vt:lpwstr>
  </property>
</Properties>
</file>