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Software Configuration Management Plan – </w:t>
      </w:r>
      <w:r>
        <w:rPr/>
        <w:t>Food Classification System</w:t>
      </w:r>
    </w:p>
    <w:p>
      <w:pPr>
        <w:pStyle w:val="Heading2"/>
        <w:rPr/>
      </w:pPr>
      <w:r>
        <w:rPr/>
        <w:t>1. Introduction</w:t>
      </w:r>
    </w:p>
    <w:p>
      <w:pPr>
        <w:pStyle w:val="Normal"/>
        <w:rPr/>
      </w:pPr>
      <w:r>
        <w:rPr/>
        <w:t>Defines configuration management activities for the project.</w:t>
      </w:r>
    </w:p>
    <w:p>
      <w:pPr>
        <w:pStyle w:val="Heading2"/>
        <w:jc w:val="both"/>
        <w:rPr/>
      </w:pPr>
      <w:r>
        <w:rPr/>
        <w:t>2. Configuration Identification</w:t>
      </w:r>
    </w:p>
    <w:p>
      <w:pPr>
        <w:pStyle w:val="Normal"/>
        <w:jc w:val="both"/>
        <w:rPr/>
      </w:pPr>
      <w:r>
        <w:rPr/>
        <w:t>The following items are designated as Configuration Items (CIs) and will be subject to versioning:</w:t>
      </w:r>
    </w:p>
    <w:p>
      <w:pPr>
        <w:pStyle w:val="Normal"/>
        <w:numPr>
          <w:ilvl w:val="0"/>
          <w:numId w:val="7"/>
        </w:numPr>
        <w:jc w:val="both"/>
        <w:rPr/>
      </w:pPr>
      <w:r>
        <w:rPr>
          <w:b/>
          <w:color w:val="2A6099"/>
        </w:rPr>
        <w:t>Documentation</w:t>
      </w:r>
      <w:r>
        <w:rPr>
          <w:color w:val="2A6099"/>
        </w:rPr>
        <w:t>:</w:t>
      </w:r>
      <w:r>
        <w:rPr/>
        <w:t xml:space="preserve"> The IEEE-style SRS, SDD, </w:t>
      </w:r>
      <w:r>
        <w:rPr/>
        <w:t>Testing</w:t>
      </w:r>
      <w:r>
        <w:rPr/>
        <w:t xml:space="preserve"> and Risk Management plans. </w:t>
      </w:r>
    </w:p>
    <w:p>
      <w:pPr>
        <w:pStyle w:val="Normal"/>
        <w:numPr>
          <w:ilvl w:val="0"/>
          <w:numId w:val="7"/>
        </w:numPr>
        <w:jc w:val="both"/>
        <w:rPr/>
      </w:pPr>
      <w:r>
        <w:rPr>
          <w:b/>
          <w:color w:val="2A6099"/>
        </w:rPr>
        <w:t>Source Code</w:t>
      </w:r>
      <w:r>
        <w:rPr>
          <w:color w:val="2A6099"/>
        </w:rPr>
        <w:t>:</w:t>
      </w:r>
      <w:r>
        <w:rPr/>
        <w:t xml:space="preserve"> The Flask backend application and Web Interface scripts. </w:t>
      </w:r>
    </w:p>
    <w:p>
      <w:pPr>
        <w:pStyle w:val="Normal"/>
        <w:numPr>
          <w:ilvl w:val="0"/>
          <w:numId w:val="7"/>
        </w:numPr>
        <w:jc w:val="both"/>
        <w:rPr/>
      </w:pPr>
      <w:r>
        <w:rPr>
          <w:b/>
          <w:color w:val="2A6099"/>
        </w:rPr>
        <w:t>Models</w:t>
      </w:r>
      <w:r>
        <w:rPr>
          <w:color w:val="2A6099"/>
        </w:rPr>
        <w:t>:</w:t>
      </w:r>
      <w:r>
        <w:rPr/>
        <w:t xml:space="preserve"> Specific versions of trained CNN weights (e.g., MobileNetV2, InceptionV3). </w:t>
      </w:r>
    </w:p>
    <w:p>
      <w:pPr>
        <w:pStyle w:val="Normal"/>
        <w:numPr>
          <w:ilvl w:val="0"/>
          <w:numId w:val="7"/>
        </w:numPr>
        <w:jc w:val="both"/>
        <w:rPr/>
      </w:pPr>
      <w:r>
        <w:rPr>
          <w:b/>
          <w:color w:val="2A6099"/>
        </w:rPr>
        <w:t>Data</w:t>
      </w:r>
      <w:r>
        <w:rPr>
          <w:color w:val="2A6099"/>
        </w:rPr>
        <w:t xml:space="preserve">: </w:t>
      </w:r>
      <w:r>
        <w:rPr/>
        <w:t xml:space="preserve">Nutritional metadata tables and user meal log schemas. </w:t>
      </w:r>
    </w:p>
    <w:p>
      <w:pPr>
        <w:pStyle w:val="Heading2"/>
        <w:jc w:val="both"/>
        <w:rPr/>
      </w:pPr>
      <w:r>
        <w:rPr/>
        <w:t>3. Configuration Control</w:t>
      </w:r>
    </w:p>
    <w:p>
      <w:pPr>
        <w:pStyle w:val="BodyText"/>
        <w:spacing w:before="0" w:after="200"/>
        <w:jc w:val="both"/>
        <w:rPr/>
      </w:pPr>
      <w:r>
        <w:rPr/>
        <w:t>Changes to any CI must follow a formal approval process: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 w:end="0"/>
        <w:jc w:val="both"/>
        <w:rPr/>
      </w:pPr>
      <w:r>
        <w:rPr>
          <w:b/>
          <w:color w:val="2A6099"/>
        </w:rPr>
        <w:t>Authority</w:t>
      </w:r>
      <w:r>
        <w:rPr>
          <w:color w:val="2A6099"/>
        </w:rPr>
        <w:t>:</w:t>
      </w:r>
      <w:r>
        <w:rPr/>
        <w:t xml:space="preserve"> The </w:t>
      </w:r>
      <w:r>
        <w:rPr>
          <w:b w:val="false"/>
          <w:bCs w:val="false"/>
        </w:rPr>
        <w:t>System Admin</w:t>
      </w:r>
      <w:r>
        <w:rPr/>
        <w:t xml:space="preserve"> acts as the primary approval authority for updating the food dataset and ML models.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 w:end="0"/>
        <w:jc w:val="both"/>
        <w:rPr/>
      </w:pPr>
      <w:r>
        <w:rPr>
          <w:b/>
          <w:color w:val="2A6099"/>
        </w:rPr>
        <w:t>Process</w:t>
      </w:r>
      <w:r>
        <w:rPr>
          <w:color w:val="2A6099"/>
        </w:rPr>
        <w:t>:</w:t>
      </w:r>
      <w:r>
        <w:rPr/>
        <w:t xml:space="preserve"> Any proposed changes to the functional requirements or non-functional requirements must be reviewed before implementation.</w:t>
      </w:r>
    </w:p>
    <w:p>
      <w:pPr>
        <w:pStyle w:val="Heading2"/>
        <w:jc w:val="both"/>
        <w:rPr/>
      </w:pPr>
      <w:r>
        <w:rPr/>
        <w:t>4. Configuration Status Accounting</w:t>
      </w:r>
    </w:p>
    <w:p>
      <w:pPr>
        <w:pStyle w:val="BodyText"/>
        <w:spacing w:before="0" w:after="200"/>
        <w:jc w:val="both"/>
        <w:rPr/>
      </w:pPr>
      <w:r>
        <w:rPr/>
        <w:t>The system will maintain a record of all modifications: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 w:end="0"/>
        <w:jc w:val="both"/>
        <w:rPr/>
      </w:pPr>
      <w:r>
        <w:rPr>
          <w:b/>
          <w:color w:val="2A6099"/>
        </w:rPr>
        <w:t>Tracking</w:t>
      </w:r>
      <w:r>
        <w:rPr>
          <w:color w:val="2A6099"/>
        </w:rPr>
        <w:t>:</w:t>
      </w:r>
      <w:r>
        <w:rPr/>
        <w:t xml:space="preserve"> Logging changes to the classification engine and nutritional mapping logic.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 w:end="0"/>
        <w:jc w:val="both"/>
        <w:rPr/>
      </w:pPr>
      <w:r>
        <w:rPr>
          <w:b/>
          <w:color w:val="2A6099"/>
        </w:rPr>
        <w:t>Reporting</w:t>
      </w:r>
      <w:r>
        <w:rPr>
          <w:color w:val="2A6099"/>
        </w:rPr>
        <w:t>:</w:t>
      </w:r>
      <w:r>
        <w:rPr/>
        <w:t xml:space="preserve"> Regular status reports on the current version of the deployed model and its validated accuracy.</w:t>
      </w:r>
    </w:p>
    <w:p>
      <w:pPr>
        <w:pStyle w:val="Heading2"/>
        <w:jc w:val="both"/>
        <w:rPr/>
      </w:pPr>
      <w:r>
        <w:rPr/>
        <w:t>5. Configuration Audits</w:t>
      </w:r>
    </w:p>
    <w:p>
      <w:pPr>
        <w:pStyle w:val="BodyText"/>
        <w:spacing w:before="0" w:after="200"/>
        <w:jc w:val="both"/>
        <w:rPr/>
      </w:pPr>
      <w:r>
        <w:rPr/>
        <w:t>Verification activities will be conducted to ensure consistency: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 w:end="0"/>
        <w:jc w:val="both"/>
        <w:rPr/>
      </w:pPr>
      <w:r>
        <w:rPr>
          <w:b/>
          <w:color w:val="2A6099"/>
        </w:rPr>
        <w:t>Functional Audit</w:t>
      </w:r>
      <w:r>
        <w:rPr>
          <w:color w:val="2A6099"/>
        </w:rPr>
        <w:t>:</w:t>
      </w:r>
      <w:r>
        <w:rPr/>
        <w:t xml:space="preserve"> Confirming that the current software configuration meets the required 85% accuracy and 3-second performance thresholds.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 w:end="0"/>
        <w:jc w:val="both"/>
        <w:rPr/>
      </w:pPr>
      <w:r>
        <w:rPr>
          <w:b/>
          <w:color w:val="2A6099"/>
        </w:rPr>
        <w:t>Physical Audit</w:t>
      </w:r>
      <w:r>
        <w:rPr>
          <w:color w:val="2A6099"/>
        </w:rPr>
        <w:t>:</w:t>
      </w:r>
      <w:r>
        <w:rPr/>
        <w:t xml:space="preserve"> Ensuring the "Data Layer" correctly stores the latest model weights and user log structures as specified in the architecture.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2C723BBD633A47A4604EB3DB04DFEA" ma:contentTypeVersion="3" ma:contentTypeDescription="Create a new document." ma:contentTypeScope="" ma:versionID="5a801aa3f8455526873c26a0d7e4d153">
  <xsd:schema xmlns:xsd="http://www.w3.org/2001/XMLSchema" xmlns:xs="http://www.w3.org/2001/XMLSchema" xmlns:p="http://schemas.microsoft.com/office/2006/metadata/properties" xmlns:ns2="1b12e6ae-a520-4038-8aae-28c8b9dd7065" targetNamespace="http://schemas.microsoft.com/office/2006/metadata/properties" ma:root="true" ma:fieldsID="65f9ba63222af8424e90479e39f237c8" ns2:_="">
    <xsd:import namespace="1b12e6ae-a520-4038-8aae-28c8b9dd70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2e6ae-a520-4038-8aae-28c8b9dd70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99A680-1320-45D3-B999-AAB3BE727CEB}"/>
</file>

<file path=customXml/itemProps3.xml><?xml version="1.0" encoding="utf-8"?>
<ds:datastoreItem xmlns:ds="http://schemas.openxmlformats.org/officeDocument/2006/customXml" ds:itemID="{1A870619-EF83-4D59-9B9F-F45879BE45F4}"/>
</file>

<file path=customXml/itemProps4.xml><?xml version="1.0" encoding="utf-8"?>
<ds:datastoreItem xmlns:ds="http://schemas.openxmlformats.org/officeDocument/2006/customXml" ds:itemID="{B833D041-40EF-4DB4-96B1-B977603189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LibreOffice/25.8.4.2$Windows_X86_64 LibreOffice_project/290daaa01b999472f0c7a3890eb6a550fd74c6df</Application>
  <AppVersion>15.0000</AppVersion>
  <Pages>1</Pages>
  <Words>219</Words>
  <Characters>1344</Characters>
  <CharactersWithSpaces>1537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2026-01-29T01:53:19Z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0x010100332C723BBD633A47A4604EB3DB04DFEA</vt:lpwstr>
  </property>
</Properties>
</file>