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14B" w:rsidRPr="00EF514B" w:rsidRDefault="00EF514B" w:rsidP="00EF514B">
      <w:pPr>
        <w:widowControl/>
        <w:jc w:val="center"/>
        <w:rPr>
          <w:rFonts w:ascii="微软雅黑" w:eastAsia="微软雅黑" w:hAnsi="微软雅黑" w:cs="宋体"/>
          <w:color w:val="000000"/>
          <w:kern w:val="0"/>
          <w:sz w:val="18"/>
          <w:szCs w:val="18"/>
        </w:rPr>
      </w:pPr>
      <w:r w:rsidRPr="00EF514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F514B" w:rsidRPr="00EF514B" w:rsidTr="00EF51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514B" w:rsidRPr="00EF514B">
              <w:trPr>
                <w:tblCellSpacing w:w="0" w:type="dxa"/>
              </w:trPr>
              <w:tc>
                <w:tcPr>
                  <w:tcW w:w="2500" w:type="pct"/>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hint="eastAsia"/>
                      <w:color w:val="686868"/>
                      <w:kern w:val="0"/>
                      <w:sz w:val="18"/>
                      <w:szCs w:val="18"/>
                    </w:rPr>
                  </w:pPr>
                  <w:r w:rsidRPr="00EF514B">
                    <w:rPr>
                      <w:rFonts w:ascii="宋体" w:eastAsia="宋体" w:hAnsi="宋体" w:cs="宋体"/>
                      <w:b/>
                      <w:bCs/>
                      <w:color w:val="686868"/>
                      <w:kern w:val="0"/>
                      <w:sz w:val="18"/>
                      <w:szCs w:val="18"/>
                    </w:rPr>
                    <w:t>索 引 号:</w:t>
                  </w:r>
                  <w:r w:rsidRPr="00EF514B">
                    <w:rPr>
                      <w:rFonts w:ascii="宋体" w:eastAsia="宋体" w:hAnsi="宋体" w:cs="宋体"/>
                      <w:color w:val="686868"/>
                      <w:kern w:val="0"/>
                      <w:sz w:val="18"/>
                      <w:szCs w:val="18"/>
                    </w:rPr>
                    <w:t>40000895X/2010-07129</w:t>
                  </w:r>
                </w:p>
              </w:tc>
              <w:tc>
                <w:tcPr>
                  <w:tcW w:w="0" w:type="auto"/>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分类:</w:t>
                  </w:r>
                  <w:r w:rsidRPr="00EF514B">
                    <w:rPr>
                      <w:rFonts w:ascii="宋体" w:eastAsia="宋体" w:hAnsi="宋体" w:cs="宋体"/>
                      <w:color w:val="686868"/>
                      <w:kern w:val="0"/>
                      <w:sz w:val="18"/>
                      <w:szCs w:val="18"/>
                    </w:rPr>
                    <w:t> 行政处罚 ; 行政处罚决定</w:t>
                  </w:r>
                </w:p>
              </w:tc>
            </w:tr>
          </w:tbl>
          <w:p w:rsidR="00EF514B" w:rsidRPr="00EF514B" w:rsidRDefault="00EF514B" w:rsidP="00EF514B">
            <w:pPr>
              <w:widowControl/>
              <w:jc w:val="left"/>
              <w:rPr>
                <w:rFonts w:ascii="宋体" w:eastAsia="宋体" w:hAnsi="宋体" w:cs="宋体"/>
                <w:color w:val="686868"/>
                <w:kern w:val="0"/>
                <w:sz w:val="18"/>
                <w:szCs w:val="18"/>
              </w:rPr>
            </w:pPr>
          </w:p>
        </w:tc>
      </w:tr>
      <w:tr w:rsidR="00EF514B" w:rsidRPr="00EF514B" w:rsidTr="00EF51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514B" w:rsidRPr="00EF514B">
              <w:trPr>
                <w:tblCellSpacing w:w="0" w:type="dxa"/>
              </w:trPr>
              <w:tc>
                <w:tcPr>
                  <w:tcW w:w="2500" w:type="pct"/>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发布机构:</w:t>
                  </w:r>
                  <w:r w:rsidRPr="00EF514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发文日期:</w:t>
                  </w:r>
                  <w:r w:rsidRPr="00EF514B">
                    <w:rPr>
                      <w:rFonts w:ascii="宋体" w:eastAsia="宋体" w:hAnsi="宋体" w:cs="宋体"/>
                      <w:color w:val="686868"/>
                      <w:kern w:val="0"/>
                      <w:sz w:val="18"/>
                      <w:szCs w:val="18"/>
                    </w:rPr>
                    <w:t> 2010年06月30日</w:t>
                  </w:r>
                </w:p>
              </w:tc>
            </w:tr>
          </w:tbl>
          <w:p w:rsidR="00EF514B" w:rsidRPr="00EF514B" w:rsidRDefault="00EF514B" w:rsidP="00EF514B">
            <w:pPr>
              <w:widowControl/>
              <w:jc w:val="left"/>
              <w:rPr>
                <w:rFonts w:ascii="宋体" w:eastAsia="宋体" w:hAnsi="宋体" w:cs="宋体"/>
                <w:color w:val="686868"/>
                <w:kern w:val="0"/>
                <w:sz w:val="18"/>
                <w:szCs w:val="18"/>
              </w:rPr>
            </w:pPr>
          </w:p>
        </w:tc>
      </w:tr>
      <w:tr w:rsidR="00EF514B" w:rsidRPr="00EF514B" w:rsidTr="00EF514B">
        <w:trPr>
          <w:tblCellSpacing w:w="0" w:type="dxa"/>
          <w:jc w:val="center"/>
        </w:trPr>
        <w:tc>
          <w:tcPr>
            <w:tcW w:w="0" w:type="auto"/>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名　　称:</w:t>
            </w:r>
            <w:r w:rsidRPr="00EF514B">
              <w:rPr>
                <w:rFonts w:ascii="宋体" w:eastAsia="宋体" w:hAnsi="宋体" w:cs="宋体"/>
                <w:color w:val="686868"/>
                <w:kern w:val="0"/>
                <w:sz w:val="18"/>
                <w:szCs w:val="18"/>
              </w:rPr>
              <w:t> 中国证监会行政处罚决定书（姜永贵）</w:t>
            </w:r>
          </w:p>
        </w:tc>
      </w:tr>
      <w:tr w:rsidR="00EF514B" w:rsidRPr="00EF514B" w:rsidTr="00EF51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514B" w:rsidRPr="00EF514B">
              <w:trPr>
                <w:tblCellSpacing w:w="0" w:type="dxa"/>
              </w:trPr>
              <w:tc>
                <w:tcPr>
                  <w:tcW w:w="2500" w:type="pct"/>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文　　号:</w:t>
                  </w:r>
                  <w:r w:rsidRPr="00EF514B">
                    <w:rPr>
                      <w:rFonts w:ascii="宋体" w:eastAsia="宋体" w:hAnsi="宋体" w:cs="宋体"/>
                      <w:color w:val="686868"/>
                      <w:kern w:val="0"/>
                      <w:sz w:val="18"/>
                      <w:szCs w:val="18"/>
                    </w:rPr>
                    <w:t> </w:t>
                  </w:r>
                  <w:bookmarkStart w:id="0" w:name="_GoBack"/>
                  <w:r w:rsidRPr="00EF514B">
                    <w:rPr>
                      <w:rFonts w:ascii="宋体" w:eastAsia="宋体" w:hAnsi="宋体" w:cs="宋体"/>
                      <w:color w:val="686868"/>
                      <w:kern w:val="0"/>
                      <w:sz w:val="18"/>
                      <w:szCs w:val="18"/>
                    </w:rPr>
                    <w:t>（2010）23号</w:t>
                  </w:r>
                  <w:bookmarkEnd w:id="0"/>
                </w:p>
              </w:tc>
              <w:tc>
                <w:tcPr>
                  <w:tcW w:w="0" w:type="auto"/>
                  <w:tcMar>
                    <w:top w:w="30" w:type="dxa"/>
                    <w:left w:w="30" w:type="dxa"/>
                    <w:bottom w:w="30" w:type="dxa"/>
                    <w:right w:w="30" w:type="dxa"/>
                  </w:tcMar>
                  <w:hideMark/>
                </w:tcPr>
                <w:p w:rsidR="00EF514B" w:rsidRPr="00EF514B" w:rsidRDefault="00EF514B" w:rsidP="00EF514B">
                  <w:pPr>
                    <w:widowControl/>
                    <w:jc w:val="left"/>
                    <w:rPr>
                      <w:rFonts w:ascii="宋体" w:eastAsia="宋体" w:hAnsi="宋体" w:cs="宋体"/>
                      <w:color w:val="686868"/>
                      <w:kern w:val="0"/>
                      <w:sz w:val="18"/>
                      <w:szCs w:val="18"/>
                    </w:rPr>
                  </w:pPr>
                  <w:r w:rsidRPr="00EF514B">
                    <w:rPr>
                      <w:rFonts w:ascii="宋体" w:eastAsia="宋体" w:hAnsi="宋体" w:cs="宋体"/>
                      <w:b/>
                      <w:bCs/>
                      <w:color w:val="686868"/>
                      <w:kern w:val="0"/>
                      <w:sz w:val="18"/>
                      <w:szCs w:val="18"/>
                    </w:rPr>
                    <w:t>主 题 词:</w:t>
                  </w:r>
                </w:p>
              </w:tc>
            </w:tr>
          </w:tbl>
          <w:p w:rsidR="00EF514B" w:rsidRPr="00EF514B" w:rsidRDefault="00EF514B" w:rsidP="00EF514B">
            <w:pPr>
              <w:widowControl/>
              <w:jc w:val="left"/>
              <w:rPr>
                <w:rFonts w:ascii="宋体" w:eastAsia="宋体" w:hAnsi="宋体" w:cs="宋体"/>
                <w:color w:val="686868"/>
                <w:kern w:val="0"/>
                <w:sz w:val="18"/>
                <w:szCs w:val="18"/>
              </w:rPr>
            </w:pPr>
          </w:p>
        </w:tc>
      </w:tr>
    </w:tbl>
    <w:p w:rsidR="00EF514B" w:rsidRPr="00EF514B" w:rsidRDefault="00EF514B" w:rsidP="00EF514B">
      <w:pPr>
        <w:widowControl/>
        <w:jc w:val="center"/>
        <w:rPr>
          <w:rFonts w:ascii="微软雅黑" w:eastAsia="微软雅黑" w:hAnsi="微软雅黑" w:cs="宋体"/>
          <w:color w:val="000000"/>
          <w:kern w:val="0"/>
          <w:sz w:val="18"/>
          <w:szCs w:val="18"/>
        </w:rPr>
      </w:pPr>
      <w:r w:rsidRPr="00EF514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F514B" w:rsidRPr="00EF514B" w:rsidRDefault="00EF514B" w:rsidP="00EF514B">
      <w:pPr>
        <w:widowControl/>
        <w:shd w:val="clear" w:color="auto" w:fill="FFFFFF"/>
        <w:spacing w:after="240"/>
        <w:jc w:val="center"/>
        <w:rPr>
          <w:rFonts w:ascii="微软雅黑" w:eastAsia="微软雅黑" w:hAnsi="微软雅黑" w:cs="宋体" w:hint="eastAsia"/>
          <w:color w:val="000000"/>
          <w:kern w:val="0"/>
          <w:sz w:val="18"/>
          <w:szCs w:val="18"/>
        </w:rPr>
      </w:pPr>
      <w:r w:rsidRPr="00EF514B">
        <w:rPr>
          <w:rFonts w:ascii="微软雅黑" w:eastAsia="微软雅黑" w:hAnsi="微软雅黑" w:cs="宋体" w:hint="eastAsia"/>
          <w:color w:val="000000"/>
          <w:kern w:val="0"/>
          <w:sz w:val="18"/>
          <w:szCs w:val="18"/>
        </w:rPr>
        <w:br/>
      </w:r>
      <w:r w:rsidRPr="00EF514B">
        <w:rPr>
          <w:rFonts w:ascii="黑体" w:eastAsia="黑体" w:hAnsi="黑体" w:cs="宋体" w:hint="eastAsia"/>
          <w:b/>
          <w:bCs/>
          <w:color w:val="FF0000"/>
          <w:kern w:val="0"/>
          <w:sz w:val="36"/>
          <w:szCs w:val="36"/>
        </w:rPr>
        <w:t>中国证监会行政处罚决定书（姜永贵）</w:t>
      </w:r>
    </w:p>
    <w:p w:rsidR="00EF514B" w:rsidRPr="00EF514B" w:rsidRDefault="00EF514B" w:rsidP="00EF514B">
      <w:pPr>
        <w:widowControl/>
        <w:shd w:val="clear" w:color="auto" w:fill="FFFFFF"/>
        <w:spacing w:line="360" w:lineRule="atLeast"/>
        <w:jc w:val="center"/>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w:t>
      </w:r>
      <w:r w:rsidRPr="00EF514B">
        <w:rPr>
          <w:rFonts w:ascii="楷体" w:eastAsia="楷体" w:hAnsi="楷体" w:cs="宋体" w:hint="eastAsia"/>
          <w:color w:val="000000"/>
          <w:kern w:val="0"/>
          <w:szCs w:val="21"/>
        </w:rPr>
        <w:t>2010</w:t>
      </w:r>
      <w:r w:rsidRPr="00EF514B">
        <w:rPr>
          <w:rFonts w:ascii="宋体" w:eastAsia="宋体" w:hAnsi="宋体" w:cs="宋体" w:hint="eastAsia"/>
          <w:color w:val="000000"/>
          <w:kern w:val="0"/>
          <w:szCs w:val="21"/>
        </w:rPr>
        <w:t>）</w:t>
      </w:r>
      <w:r w:rsidRPr="00EF514B">
        <w:rPr>
          <w:rFonts w:ascii="楷体" w:eastAsia="楷体" w:hAnsi="楷体" w:cs="宋体" w:hint="eastAsia"/>
          <w:color w:val="000000"/>
          <w:kern w:val="0"/>
          <w:szCs w:val="21"/>
        </w:rPr>
        <w:t>23</w:t>
      </w:r>
      <w:r w:rsidRPr="00EF514B">
        <w:rPr>
          <w:rFonts w:ascii="宋体" w:eastAsia="宋体" w:hAnsi="宋体" w:cs="宋体" w:hint="eastAsia"/>
          <w:color w:val="000000"/>
          <w:kern w:val="0"/>
          <w:szCs w:val="21"/>
        </w:rPr>
        <w:t>号</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当事人：</w:t>
      </w:r>
      <w:r w:rsidRPr="00EF514B">
        <w:rPr>
          <w:rFonts w:ascii="楷体" w:eastAsia="楷体" w:hAnsi="楷体" w:cs="宋体" w:hint="eastAsia"/>
          <w:color w:val="000000"/>
          <w:kern w:val="0"/>
          <w:szCs w:val="21"/>
        </w:rPr>
        <w:t>姜永贵，男，1957年8月出生，时任深圳市天健（集团）股份有限公司（以下简称深天</w:t>
      </w:r>
      <w:proofErr w:type="gramStart"/>
      <w:r w:rsidRPr="00EF514B">
        <w:rPr>
          <w:rFonts w:ascii="楷体" w:eastAsia="楷体" w:hAnsi="楷体" w:cs="宋体" w:hint="eastAsia"/>
          <w:color w:val="000000"/>
          <w:kern w:val="0"/>
          <w:szCs w:val="21"/>
        </w:rPr>
        <w:t>健或者</w:t>
      </w:r>
      <w:proofErr w:type="gramEnd"/>
      <w:r w:rsidRPr="00EF514B">
        <w:rPr>
          <w:rFonts w:ascii="楷体" w:eastAsia="楷体" w:hAnsi="楷体" w:cs="宋体" w:hint="eastAsia"/>
          <w:color w:val="000000"/>
          <w:kern w:val="0"/>
          <w:szCs w:val="21"/>
        </w:rPr>
        <w:t>公司）董事、总经理，住址：广东省深圳市福田区市政公司。</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依据《中华人民共和国证券法》（以下简称《证券法》）的有关规定，我会对姜永贵内幕交易行为进行了立案调查、审理。我会依法向当事人告知了</w:t>
      </w:r>
      <w:proofErr w:type="gramStart"/>
      <w:r w:rsidRPr="00EF514B">
        <w:rPr>
          <w:rFonts w:ascii="宋体" w:eastAsia="宋体" w:hAnsi="宋体" w:cs="宋体" w:hint="eastAsia"/>
          <w:color w:val="000000"/>
          <w:kern w:val="0"/>
          <w:szCs w:val="21"/>
        </w:rPr>
        <w:t>作出</w:t>
      </w:r>
      <w:proofErr w:type="gramEnd"/>
      <w:r w:rsidRPr="00EF514B">
        <w:rPr>
          <w:rFonts w:ascii="宋体" w:eastAsia="宋体" w:hAnsi="宋体" w:cs="宋体" w:hint="eastAsia"/>
          <w:color w:val="000000"/>
          <w:kern w:val="0"/>
          <w:szCs w:val="21"/>
        </w:rPr>
        <w:t>行政处罚的事实、理由、依据及当事人依法享有的权利，当事人不要求陈述、申辩和听证。本案现已调查、审理终结。</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经查明，姜永贵存在如下违法行为：</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一、内幕信息的形成、传递、公开过程与姜永贵知悉内幕信息的情况</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深天健是一家主营房地产开发与经营、市政工程建设和管理的公司。</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w:t>
      </w:r>
      <w:r w:rsidRPr="00EF514B">
        <w:rPr>
          <w:rFonts w:ascii="楷体" w:eastAsia="楷体" w:hAnsi="楷体" w:cs="宋体" w:hint="eastAsia"/>
          <w:color w:val="000000"/>
          <w:kern w:val="0"/>
          <w:szCs w:val="21"/>
        </w:rPr>
        <w:t>10</w:t>
      </w:r>
      <w:r w:rsidRPr="00EF514B">
        <w:rPr>
          <w:rFonts w:ascii="宋体" w:eastAsia="宋体" w:hAnsi="宋体" w:cs="宋体" w:hint="eastAsia"/>
          <w:color w:val="000000"/>
          <w:kern w:val="0"/>
          <w:szCs w:val="21"/>
        </w:rPr>
        <w:t>月</w:t>
      </w:r>
      <w:r w:rsidRPr="00EF514B">
        <w:rPr>
          <w:rFonts w:ascii="楷体" w:eastAsia="楷体" w:hAnsi="楷体" w:cs="宋体" w:hint="eastAsia"/>
          <w:color w:val="000000"/>
          <w:kern w:val="0"/>
          <w:szCs w:val="21"/>
        </w:rPr>
        <w:t>24</w:t>
      </w:r>
      <w:r w:rsidRPr="00EF514B">
        <w:rPr>
          <w:rFonts w:ascii="宋体" w:eastAsia="宋体" w:hAnsi="宋体" w:cs="宋体" w:hint="eastAsia"/>
          <w:color w:val="000000"/>
          <w:kern w:val="0"/>
          <w:szCs w:val="21"/>
        </w:rPr>
        <w:t>日，深天健披露</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年年度</w:t>
      </w:r>
      <w:proofErr w:type="gramStart"/>
      <w:r w:rsidRPr="00EF514B">
        <w:rPr>
          <w:rFonts w:ascii="宋体" w:eastAsia="宋体" w:hAnsi="宋体" w:cs="宋体" w:hint="eastAsia"/>
          <w:color w:val="000000"/>
          <w:kern w:val="0"/>
          <w:szCs w:val="21"/>
        </w:rPr>
        <w:t>业绩预增公告</w:t>
      </w:r>
      <w:proofErr w:type="gramEnd"/>
      <w:r w:rsidRPr="00EF514B">
        <w:rPr>
          <w:rFonts w:ascii="宋体" w:eastAsia="宋体" w:hAnsi="宋体" w:cs="宋体" w:hint="eastAsia"/>
          <w:color w:val="000000"/>
          <w:kern w:val="0"/>
          <w:szCs w:val="21"/>
        </w:rPr>
        <w:t>，预告</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年度净利润比上年同期增长</w:t>
      </w:r>
      <w:r w:rsidRPr="00EF514B">
        <w:rPr>
          <w:rFonts w:ascii="楷体" w:eastAsia="楷体" w:hAnsi="楷体" w:cs="宋体" w:hint="eastAsia"/>
          <w:color w:val="000000"/>
          <w:kern w:val="0"/>
          <w:szCs w:val="21"/>
        </w:rPr>
        <w:t>50%-100%</w:t>
      </w:r>
      <w:r w:rsidRPr="00EF514B">
        <w:rPr>
          <w:rFonts w:ascii="宋体" w:eastAsia="宋体" w:hAnsi="宋体" w:cs="宋体" w:hint="eastAsia"/>
          <w:color w:val="000000"/>
          <w:kern w:val="0"/>
          <w:szCs w:val="21"/>
        </w:rPr>
        <w:t>。</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2008年1月5日，深天健财务部编制了《2007年所属各企业收入、利润完成情况表》（以下简称表</w:t>
      </w:r>
      <w:proofErr w:type="gramStart"/>
      <w:r w:rsidRPr="00EF514B">
        <w:rPr>
          <w:rFonts w:ascii="楷体" w:eastAsia="楷体" w:hAnsi="楷体" w:cs="宋体" w:hint="eastAsia"/>
          <w:color w:val="000000"/>
          <w:kern w:val="0"/>
          <w:szCs w:val="21"/>
        </w:rPr>
        <w:t>一</w:t>
      </w:r>
      <w:proofErr w:type="gramEnd"/>
      <w:r w:rsidRPr="00EF514B">
        <w:rPr>
          <w:rFonts w:ascii="楷体" w:eastAsia="楷体" w:hAnsi="楷体" w:cs="宋体" w:hint="eastAsia"/>
          <w:color w:val="000000"/>
          <w:kern w:val="0"/>
          <w:szCs w:val="21"/>
        </w:rPr>
        <w:t>，其中天</w:t>
      </w:r>
      <w:proofErr w:type="gramStart"/>
      <w:r w:rsidRPr="00EF514B">
        <w:rPr>
          <w:rFonts w:ascii="楷体" w:eastAsia="楷体" w:hAnsi="楷体" w:cs="宋体" w:hint="eastAsia"/>
          <w:color w:val="000000"/>
          <w:kern w:val="0"/>
          <w:szCs w:val="21"/>
        </w:rPr>
        <w:t>健现代</w:t>
      </w:r>
      <w:proofErr w:type="gramEnd"/>
      <w:r w:rsidRPr="00EF514B">
        <w:rPr>
          <w:rFonts w:ascii="楷体" w:eastAsia="楷体" w:hAnsi="楷体" w:cs="宋体" w:hint="eastAsia"/>
          <w:color w:val="000000"/>
          <w:kern w:val="0"/>
          <w:szCs w:val="21"/>
        </w:rPr>
        <w:t>城项目按已收商品房销售款测算），该表显示深天健2007年度净利润19,931.01万元。</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1月7日上午，深天健财务部对表</w:t>
      </w:r>
      <w:proofErr w:type="gramStart"/>
      <w:r w:rsidRPr="00EF514B">
        <w:rPr>
          <w:rFonts w:ascii="楷体" w:eastAsia="楷体" w:hAnsi="楷体" w:cs="宋体" w:hint="eastAsia"/>
          <w:color w:val="000000"/>
          <w:kern w:val="0"/>
          <w:szCs w:val="21"/>
        </w:rPr>
        <w:t>一</w:t>
      </w:r>
      <w:proofErr w:type="gramEnd"/>
      <w:r w:rsidRPr="00EF514B">
        <w:rPr>
          <w:rFonts w:ascii="楷体" w:eastAsia="楷体" w:hAnsi="楷体" w:cs="宋体" w:hint="eastAsia"/>
          <w:color w:val="000000"/>
          <w:kern w:val="0"/>
          <w:szCs w:val="21"/>
        </w:rPr>
        <w:t>进行修正，将天</w:t>
      </w:r>
      <w:proofErr w:type="gramStart"/>
      <w:r w:rsidRPr="00EF514B">
        <w:rPr>
          <w:rFonts w:ascii="楷体" w:eastAsia="楷体" w:hAnsi="楷体" w:cs="宋体" w:hint="eastAsia"/>
          <w:color w:val="000000"/>
          <w:kern w:val="0"/>
          <w:szCs w:val="21"/>
        </w:rPr>
        <w:t>健现代</w:t>
      </w:r>
      <w:proofErr w:type="gramEnd"/>
      <w:r w:rsidRPr="00EF514B">
        <w:rPr>
          <w:rFonts w:ascii="楷体" w:eastAsia="楷体" w:hAnsi="楷体" w:cs="宋体" w:hint="eastAsia"/>
          <w:color w:val="000000"/>
          <w:kern w:val="0"/>
          <w:szCs w:val="21"/>
        </w:rPr>
        <w:t>城项目按2007年达到收入确认条件部分测算，编制了《2007年所属各企业收入、利润完成情况表》（以下简称表二）和《2007年全年上报数表》（以下简称表三）。表二和表</w:t>
      </w:r>
      <w:proofErr w:type="gramStart"/>
      <w:r w:rsidRPr="00EF514B">
        <w:rPr>
          <w:rFonts w:ascii="楷体" w:eastAsia="楷体" w:hAnsi="楷体" w:cs="宋体" w:hint="eastAsia"/>
          <w:color w:val="000000"/>
          <w:kern w:val="0"/>
          <w:szCs w:val="21"/>
        </w:rPr>
        <w:t>三显示</w:t>
      </w:r>
      <w:proofErr w:type="gramEnd"/>
      <w:r w:rsidRPr="00EF514B">
        <w:rPr>
          <w:rFonts w:ascii="楷体" w:eastAsia="楷体" w:hAnsi="楷体" w:cs="宋体" w:hint="eastAsia"/>
          <w:color w:val="000000"/>
          <w:kern w:val="0"/>
          <w:szCs w:val="21"/>
        </w:rPr>
        <w:t>深天健2007年度净利润17,301.77万元，比上年增长54.61%，每股收益0.57元。</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1月7日下午，时任深天健董事、总经理姜永贵与公司董事长、财务总监、财务经理等召开碰头会，讨论上报大股东深圳市国资委2007年度业绩快报数据。财务经理在会上发给</w:t>
      </w:r>
      <w:proofErr w:type="gramStart"/>
      <w:r w:rsidRPr="00EF514B">
        <w:rPr>
          <w:rFonts w:ascii="楷体" w:eastAsia="楷体" w:hAnsi="楷体" w:cs="宋体" w:hint="eastAsia"/>
          <w:color w:val="000000"/>
          <w:kern w:val="0"/>
          <w:szCs w:val="21"/>
        </w:rPr>
        <w:t>每人表</w:t>
      </w:r>
      <w:proofErr w:type="gramEnd"/>
      <w:r w:rsidRPr="00EF514B">
        <w:rPr>
          <w:rFonts w:ascii="楷体" w:eastAsia="楷体" w:hAnsi="楷体" w:cs="宋体" w:hint="eastAsia"/>
          <w:color w:val="000000"/>
          <w:kern w:val="0"/>
          <w:szCs w:val="21"/>
        </w:rPr>
        <w:t>一、表二和表三，通报了主要的财务数据和指标，并强调有些数据可能会稍作调整，但最终上报数据与本次碰头会数据应该差异不大，其余参会人员对汇报的数据没有提出异议。</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1月11日，深天健财务部编制了2007年度利润表，净利润、每股收益数据与表二相同，其余数据与表二略有差异，主要是利润总额</w:t>
      </w:r>
      <w:proofErr w:type="gramStart"/>
      <w:r w:rsidRPr="00EF514B">
        <w:rPr>
          <w:rFonts w:ascii="楷体" w:eastAsia="楷体" w:hAnsi="楷体" w:cs="宋体" w:hint="eastAsia"/>
          <w:color w:val="000000"/>
          <w:kern w:val="0"/>
          <w:szCs w:val="21"/>
        </w:rPr>
        <w:t>比表二增加</w:t>
      </w:r>
      <w:proofErr w:type="gramEnd"/>
      <w:r w:rsidRPr="00EF514B">
        <w:rPr>
          <w:rFonts w:ascii="楷体" w:eastAsia="楷体" w:hAnsi="楷体" w:cs="宋体" w:hint="eastAsia"/>
          <w:color w:val="000000"/>
          <w:kern w:val="0"/>
          <w:szCs w:val="21"/>
        </w:rPr>
        <w:t>了4.06万元。</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lastRenderedPageBreak/>
        <w:t>1月13日，深天健财务部编制了2007年12月31日的资产负债表，将该表和1月11日编制的2007年度利润表及其他附表通过网络上报给深圳市国资委。</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1月14日上午，深天健财务总监向董事长</w:t>
      </w:r>
      <w:proofErr w:type="gramStart"/>
      <w:r w:rsidRPr="00EF514B">
        <w:rPr>
          <w:rFonts w:ascii="楷体" w:eastAsia="楷体" w:hAnsi="楷体" w:cs="宋体" w:hint="eastAsia"/>
          <w:color w:val="000000"/>
          <w:kern w:val="0"/>
          <w:szCs w:val="21"/>
        </w:rPr>
        <w:t>汇报深天健已</w:t>
      </w:r>
      <w:proofErr w:type="gramEnd"/>
      <w:r w:rsidRPr="00EF514B">
        <w:rPr>
          <w:rFonts w:ascii="楷体" w:eastAsia="楷体" w:hAnsi="楷体" w:cs="宋体" w:hint="eastAsia"/>
          <w:color w:val="000000"/>
          <w:kern w:val="0"/>
          <w:szCs w:val="21"/>
        </w:rPr>
        <w:t>向深圳市国资委上报2007年度业绩快报，并建议深天</w:t>
      </w:r>
      <w:proofErr w:type="gramStart"/>
      <w:r w:rsidRPr="00EF514B">
        <w:rPr>
          <w:rFonts w:ascii="楷体" w:eastAsia="楷体" w:hAnsi="楷体" w:cs="宋体" w:hint="eastAsia"/>
          <w:color w:val="000000"/>
          <w:kern w:val="0"/>
          <w:szCs w:val="21"/>
        </w:rPr>
        <w:t>健及时</w:t>
      </w:r>
      <w:proofErr w:type="gramEnd"/>
      <w:r w:rsidRPr="00EF514B">
        <w:rPr>
          <w:rFonts w:ascii="楷体" w:eastAsia="楷体" w:hAnsi="楷体" w:cs="宋体" w:hint="eastAsia"/>
          <w:color w:val="000000"/>
          <w:kern w:val="0"/>
          <w:szCs w:val="21"/>
        </w:rPr>
        <w:t>披露。当天下午，深天健财务部草拟了2007年度业绩快报公告文稿。</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1月15日，深天健2007年度业绩快报公告文稿经部分董事会签后，报送给深圳证券交易所。</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1月16日，深天健披露2007年度业绩快报，所披露的数据与深天健上报深圳市国资委的数据一致。</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4月22日，深天健披露2007年年度报告，显示净利润17,329.31万元，比上年增长42.11%，增幅低于业绩快报数，每股收益0.5692元，与业绩快报数接近。公司在年度报告中解释主要原因是：“比较基数一直采用原审定的2006年净利润，未考虑所属亏损法人企业按新准则追溯调整对净利润的影响，由于所得税费用的追溯调整，使调整后的2006年净利润比原审定数增长幅度很大，从而降低了2007年度净利润的增幅。”</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二、相关信息对公司股价的影响</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2008年1月16日深天健披露2007年度业绩快报当日，公司股票开盘价、</w:t>
      </w:r>
      <w:proofErr w:type="gramStart"/>
      <w:r w:rsidRPr="00EF514B">
        <w:rPr>
          <w:rFonts w:ascii="楷体" w:eastAsia="楷体" w:hAnsi="楷体" w:cs="宋体" w:hint="eastAsia"/>
          <w:color w:val="000000"/>
          <w:kern w:val="0"/>
          <w:szCs w:val="21"/>
        </w:rPr>
        <w:t>最</w:t>
      </w:r>
      <w:proofErr w:type="gramEnd"/>
      <w:r w:rsidRPr="00EF514B">
        <w:rPr>
          <w:rFonts w:ascii="楷体" w:eastAsia="楷体" w:hAnsi="楷体" w:cs="宋体" w:hint="eastAsia"/>
          <w:color w:val="000000"/>
          <w:kern w:val="0"/>
          <w:szCs w:val="21"/>
        </w:rPr>
        <w:t>高价、最低价、收盘价和均价分别为25.20元、25.30元、24.10元、24.18元和24.79元，收盘跌幅达6.10%、与深证成份股指数</w:t>
      </w:r>
      <w:proofErr w:type="gramStart"/>
      <w:r w:rsidRPr="00EF514B">
        <w:rPr>
          <w:rFonts w:ascii="楷体" w:eastAsia="楷体" w:hAnsi="楷体" w:cs="宋体" w:hint="eastAsia"/>
          <w:color w:val="000000"/>
          <w:kern w:val="0"/>
          <w:szCs w:val="21"/>
        </w:rPr>
        <w:t>偏离值</w:t>
      </w:r>
      <w:proofErr w:type="gramEnd"/>
      <w:r w:rsidRPr="00EF514B">
        <w:rPr>
          <w:rFonts w:ascii="楷体" w:eastAsia="楷体" w:hAnsi="楷体" w:cs="宋体" w:hint="eastAsia"/>
          <w:color w:val="000000"/>
          <w:kern w:val="0"/>
          <w:szCs w:val="21"/>
        </w:rPr>
        <w:t>为-2.52%。当日卖出“深天健”数量列前二十名者除国泰君安证券股份有限公司外都是个人投资者，买入“深天健”数量列前二十名者全部是个人投资者。</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当日，国泰君安证券股份有限公司卖出</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深天健</w:t>
      </w:r>
      <w:r w:rsidRPr="00EF514B">
        <w:rPr>
          <w:rFonts w:ascii="楷体" w:eastAsia="楷体" w:hAnsi="楷体" w:cs="宋体" w:hint="eastAsia"/>
          <w:color w:val="000000"/>
          <w:kern w:val="0"/>
          <w:szCs w:val="21"/>
        </w:rPr>
        <w:t>”119,900</w:t>
      </w:r>
      <w:r w:rsidRPr="00EF514B">
        <w:rPr>
          <w:rFonts w:ascii="宋体" w:eastAsia="宋体" w:hAnsi="宋体" w:cs="宋体" w:hint="eastAsia"/>
          <w:color w:val="000000"/>
          <w:kern w:val="0"/>
          <w:szCs w:val="21"/>
        </w:rPr>
        <w:t>股，其说明卖出</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深天健</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的主要原因是：</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公司的业绩增长仅仅是略高于其之前在</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w:t>
      </w:r>
      <w:r w:rsidRPr="00EF514B">
        <w:rPr>
          <w:rFonts w:ascii="楷体" w:eastAsia="楷体" w:hAnsi="楷体" w:cs="宋体" w:hint="eastAsia"/>
          <w:color w:val="000000"/>
          <w:kern w:val="0"/>
          <w:szCs w:val="21"/>
        </w:rPr>
        <w:t>10</w:t>
      </w:r>
      <w:r w:rsidRPr="00EF514B">
        <w:rPr>
          <w:rFonts w:ascii="宋体" w:eastAsia="宋体" w:hAnsi="宋体" w:cs="宋体" w:hint="eastAsia"/>
          <w:color w:val="000000"/>
          <w:kern w:val="0"/>
          <w:szCs w:val="21"/>
        </w:rPr>
        <w:t>月</w:t>
      </w:r>
      <w:r w:rsidRPr="00EF514B">
        <w:rPr>
          <w:rFonts w:ascii="楷体" w:eastAsia="楷体" w:hAnsi="楷体" w:cs="宋体" w:hint="eastAsia"/>
          <w:color w:val="000000"/>
          <w:kern w:val="0"/>
          <w:szCs w:val="21"/>
        </w:rPr>
        <w:t>24</w:t>
      </w:r>
      <w:r w:rsidRPr="00EF514B">
        <w:rPr>
          <w:rFonts w:ascii="宋体" w:eastAsia="宋体" w:hAnsi="宋体" w:cs="宋体" w:hint="eastAsia"/>
          <w:color w:val="000000"/>
          <w:kern w:val="0"/>
          <w:szCs w:val="21"/>
        </w:rPr>
        <w:t>日预告的业绩大幅增长</w:t>
      </w:r>
      <w:r w:rsidRPr="00EF514B">
        <w:rPr>
          <w:rFonts w:ascii="楷体" w:eastAsia="楷体" w:hAnsi="楷体" w:cs="宋体" w:hint="eastAsia"/>
          <w:color w:val="000000"/>
          <w:kern w:val="0"/>
          <w:szCs w:val="21"/>
        </w:rPr>
        <w:t>50%-100%</w:t>
      </w:r>
      <w:r w:rsidRPr="00EF514B">
        <w:rPr>
          <w:rFonts w:ascii="宋体" w:eastAsia="宋体" w:hAnsi="宋体" w:cs="宋体" w:hint="eastAsia"/>
          <w:color w:val="000000"/>
          <w:kern w:val="0"/>
          <w:szCs w:val="21"/>
        </w:rPr>
        <w:t>下限。而且大大低于了之前市场和我们对其</w:t>
      </w:r>
      <w:r w:rsidRPr="00EF514B">
        <w:rPr>
          <w:rFonts w:ascii="楷体" w:eastAsia="楷体" w:hAnsi="楷体" w:cs="宋体" w:hint="eastAsia"/>
          <w:color w:val="000000"/>
          <w:kern w:val="0"/>
          <w:szCs w:val="21"/>
        </w:rPr>
        <w:t>0.75</w:t>
      </w:r>
      <w:r w:rsidRPr="00EF514B">
        <w:rPr>
          <w:rFonts w:ascii="宋体" w:eastAsia="宋体" w:hAnsi="宋体" w:cs="宋体" w:hint="eastAsia"/>
          <w:color w:val="000000"/>
          <w:kern w:val="0"/>
          <w:szCs w:val="21"/>
        </w:rPr>
        <w:t>元左右的业绩预期。而此次施工业务的亏损加大，也引起我们的严重关注，动摇了我们原先对于公司的判断。</w:t>
      </w:r>
      <w:r w:rsidRPr="00EF514B">
        <w:rPr>
          <w:rFonts w:ascii="楷体" w:eastAsia="楷体" w:hAnsi="楷体" w:cs="宋体" w:hint="eastAsia"/>
          <w:color w:val="000000"/>
          <w:kern w:val="0"/>
          <w:szCs w:val="21"/>
        </w:rPr>
        <w:t>”</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自</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w:t>
      </w:r>
      <w:r w:rsidRPr="00EF514B">
        <w:rPr>
          <w:rFonts w:ascii="楷体" w:eastAsia="楷体" w:hAnsi="楷体" w:cs="宋体" w:hint="eastAsia"/>
          <w:color w:val="000000"/>
          <w:kern w:val="0"/>
          <w:szCs w:val="21"/>
        </w:rPr>
        <w:t>10</w:t>
      </w:r>
      <w:r w:rsidRPr="00EF514B">
        <w:rPr>
          <w:rFonts w:ascii="宋体" w:eastAsia="宋体" w:hAnsi="宋体" w:cs="宋体" w:hint="eastAsia"/>
          <w:color w:val="000000"/>
          <w:kern w:val="0"/>
          <w:szCs w:val="21"/>
        </w:rPr>
        <w:t>月</w:t>
      </w:r>
      <w:r w:rsidRPr="00EF514B">
        <w:rPr>
          <w:rFonts w:ascii="楷体" w:eastAsia="楷体" w:hAnsi="楷体" w:cs="宋体" w:hint="eastAsia"/>
          <w:color w:val="000000"/>
          <w:kern w:val="0"/>
          <w:szCs w:val="21"/>
        </w:rPr>
        <w:t>24</w:t>
      </w:r>
      <w:r w:rsidRPr="00EF514B">
        <w:rPr>
          <w:rFonts w:ascii="宋体" w:eastAsia="宋体" w:hAnsi="宋体" w:cs="宋体" w:hint="eastAsia"/>
          <w:color w:val="000000"/>
          <w:kern w:val="0"/>
          <w:szCs w:val="21"/>
        </w:rPr>
        <w:t>日至</w:t>
      </w:r>
      <w:r w:rsidRPr="00EF514B">
        <w:rPr>
          <w:rFonts w:ascii="楷体" w:eastAsia="楷体" w:hAnsi="楷体" w:cs="宋体" w:hint="eastAsia"/>
          <w:color w:val="000000"/>
          <w:kern w:val="0"/>
          <w:szCs w:val="21"/>
        </w:rPr>
        <w:t>2008</w:t>
      </w:r>
      <w:r w:rsidRPr="00EF514B">
        <w:rPr>
          <w:rFonts w:ascii="宋体" w:eastAsia="宋体" w:hAnsi="宋体" w:cs="宋体" w:hint="eastAsia"/>
          <w:color w:val="000000"/>
          <w:kern w:val="0"/>
          <w:szCs w:val="21"/>
        </w:rPr>
        <w:t>年</w:t>
      </w:r>
      <w:r w:rsidRPr="00EF514B">
        <w:rPr>
          <w:rFonts w:ascii="楷体" w:eastAsia="楷体" w:hAnsi="楷体" w:cs="宋体" w:hint="eastAsia"/>
          <w:color w:val="000000"/>
          <w:kern w:val="0"/>
          <w:szCs w:val="21"/>
        </w:rPr>
        <w:t>1</w:t>
      </w:r>
      <w:r w:rsidRPr="00EF514B">
        <w:rPr>
          <w:rFonts w:ascii="宋体" w:eastAsia="宋体" w:hAnsi="宋体" w:cs="宋体" w:hint="eastAsia"/>
          <w:color w:val="000000"/>
          <w:kern w:val="0"/>
          <w:szCs w:val="21"/>
        </w:rPr>
        <w:t>月</w:t>
      </w:r>
      <w:r w:rsidRPr="00EF514B">
        <w:rPr>
          <w:rFonts w:ascii="楷体" w:eastAsia="楷体" w:hAnsi="楷体" w:cs="宋体" w:hint="eastAsia"/>
          <w:color w:val="000000"/>
          <w:kern w:val="0"/>
          <w:szCs w:val="21"/>
        </w:rPr>
        <w:t>16</w:t>
      </w:r>
      <w:r w:rsidRPr="00EF514B">
        <w:rPr>
          <w:rFonts w:ascii="宋体" w:eastAsia="宋体" w:hAnsi="宋体" w:cs="宋体" w:hint="eastAsia"/>
          <w:color w:val="000000"/>
          <w:kern w:val="0"/>
          <w:szCs w:val="21"/>
        </w:rPr>
        <w:t>日，即深天健披露</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年度</w:t>
      </w:r>
      <w:proofErr w:type="gramStart"/>
      <w:r w:rsidRPr="00EF514B">
        <w:rPr>
          <w:rFonts w:ascii="宋体" w:eastAsia="宋体" w:hAnsi="宋体" w:cs="宋体" w:hint="eastAsia"/>
          <w:color w:val="000000"/>
          <w:kern w:val="0"/>
          <w:szCs w:val="21"/>
        </w:rPr>
        <w:t>业绩预增公告</w:t>
      </w:r>
      <w:proofErr w:type="gramEnd"/>
      <w:r w:rsidRPr="00EF514B">
        <w:rPr>
          <w:rFonts w:ascii="宋体" w:eastAsia="宋体" w:hAnsi="宋体" w:cs="宋体" w:hint="eastAsia"/>
          <w:color w:val="000000"/>
          <w:kern w:val="0"/>
          <w:szCs w:val="21"/>
        </w:rPr>
        <w:t>至披露</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年度业绩快报期间，国金证券股份有限公司、联合证券有限责任公司、天</w:t>
      </w:r>
      <w:proofErr w:type="gramStart"/>
      <w:r w:rsidRPr="00EF514B">
        <w:rPr>
          <w:rFonts w:ascii="宋体" w:eastAsia="宋体" w:hAnsi="宋体" w:cs="宋体" w:hint="eastAsia"/>
          <w:color w:val="000000"/>
          <w:kern w:val="0"/>
          <w:szCs w:val="21"/>
        </w:rPr>
        <w:t>相投资</w:t>
      </w:r>
      <w:proofErr w:type="gramEnd"/>
      <w:r w:rsidRPr="00EF514B">
        <w:rPr>
          <w:rFonts w:ascii="宋体" w:eastAsia="宋体" w:hAnsi="宋体" w:cs="宋体" w:hint="eastAsia"/>
          <w:color w:val="000000"/>
          <w:kern w:val="0"/>
          <w:szCs w:val="21"/>
        </w:rPr>
        <w:t>顾问有限公司</w:t>
      </w:r>
      <w:proofErr w:type="gramStart"/>
      <w:r w:rsidRPr="00EF514B">
        <w:rPr>
          <w:rFonts w:ascii="宋体" w:eastAsia="宋体" w:hAnsi="宋体" w:cs="宋体" w:hint="eastAsia"/>
          <w:color w:val="000000"/>
          <w:kern w:val="0"/>
          <w:szCs w:val="21"/>
        </w:rPr>
        <w:t>各发表</w:t>
      </w:r>
      <w:proofErr w:type="gramEnd"/>
      <w:r w:rsidRPr="00EF514B">
        <w:rPr>
          <w:rFonts w:ascii="宋体" w:eastAsia="宋体" w:hAnsi="宋体" w:cs="宋体" w:hint="eastAsia"/>
          <w:color w:val="000000"/>
          <w:kern w:val="0"/>
          <w:szCs w:val="21"/>
        </w:rPr>
        <w:t>了一篇关于</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深天健</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的研究报告，三家机构预测深天健</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年度净利润增长率分别为</w:t>
      </w:r>
      <w:r w:rsidRPr="00EF514B">
        <w:rPr>
          <w:rFonts w:ascii="楷体" w:eastAsia="楷体" w:hAnsi="楷体" w:cs="宋体" w:hint="eastAsia"/>
          <w:color w:val="000000"/>
          <w:kern w:val="0"/>
          <w:szCs w:val="21"/>
        </w:rPr>
        <w:t>91.63%</w:t>
      </w:r>
      <w:r w:rsidRPr="00EF514B">
        <w:rPr>
          <w:rFonts w:ascii="宋体" w:eastAsia="宋体" w:hAnsi="宋体" w:cs="宋体" w:hint="eastAsia"/>
          <w:color w:val="000000"/>
          <w:kern w:val="0"/>
          <w:szCs w:val="21"/>
        </w:rPr>
        <w:t>、</w:t>
      </w:r>
      <w:r w:rsidRPr="00EF514B">
        <w:rPr>
          <w:rFonts w:ascii="楷体" w:eastAsia="楷体" w:hAnsi="楷体" w:cs="宋体" w:hint="eastAsia"/>
          <w:color w:val="000000"/>
          <w:kern w:val="0"/>
          <w:szCs w:val="21"/>
        </w:rPr>
        <w:t>99%</w:t>
      </w:r>
      <w:r w:rsidRPr="00EF514B">
        <w:rPr>
          <w:rFonts w:ascii="宋体" w:eastAsia="宋体" w:hAnsi="宋体" w:cs="宋体" w:hint="eastAsia"/>
          <w:color w:val="000000"/>
          <w:kern w:val="0"/>
          <w:szCs w:val="21"/>
        </w:rPr>
        <w:t>和</w:t>
      </w:r>
      <w:r w:rsidRPr="00EF514B">
        <w:rPr>
          <w:rFonts w:ascii="楷体" w:eastAsia="楷体" w:hAnsi="楷体" w:cs="宋体" w:hint="eastAsia"/>
          <w:color w:val="000000"/>
          <w:kern w:val="0"/>
          <w:szCs w:val="21"/>
        </w:rPr>
        <w:t>110.30%</w:t>
      </w:r>
      <w:r w:rsidRPr="00EF514B">
        <w:rPr>
          <w:rFonts w:ascii="宋体" w:eastAsia="宋体" w:hAnsi="宋体" w:cs="宋体" w:hint="eastAsia"/>
          <w:color w:val="000000"/>
          <w:kern w:val="0"/>
          <w:szCs w:val="21"/>
        </w:rPr>
        <w:t>。</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2008年7月31日，深天健向我会调查部门提交的书面说明，分析了2007年度业绩快报中的净利润增幅54.61%落在</w:t>
      </w:r>
      <w:proofErr w:type="gramStart"/>
      <w:r w:rsidRPr="00EF514B">
        <w:rPr>
          <w:rFonts w:ascii="楷体" w:eastAsia="楷体" w:hAnsi="楷体" w:cs="宋体" w:hint="eastAsia"/>
          <w:color w:val="000000"/>
          <w:kern w:val="0"/>
          <w:szCs w:val="21"/>
        </w:rPr>
        <w:t>业绩预增公告</w:t>
      </w:r>
      <w:proofErr w:type="gramEnd"/>
      <w:r w:rsidRPr="00EF514B">
        <w:rPr>
          <w:rFonts w:ascii="楷体" w:eastAsia="楷体" w:hAnsi="楷体" w:cs="宋体" w:hint="eastAsia"/>
          <w:color w:val="000000"/>
          <w:kern w:val="0"/>
          <w:szCs w:val="21"/>
        </w:rPr>
        <w:t>的50%-100%区间下限的原因，主要是披露</w:t>
      </w:r>
      <w:proofErr w:type="gramStart"/>
      <w:r w:rsidRPr="00EF514B">
        <w:rPr>
          <w:rFonts w:ascii="楷体" w:eastAsia="楷体" w:hAnsi="楷体" w:cs="宋体" w:hint="eastAsia"/>
          <w:color w:val="000000"/>
          <w:kern w:val="0"/>
          <w:szCs w:val="21"/>
        </w:rPr>
        <w:t>业绩预增公告</w:t>
      </w:r>
      <w:proofErr w:type="gramEnd"/>
      <w:r w:rsidRPr="00EF514B">
        <w:rPr>
          <w:rFonts w:ascii="楷体" w:eastAsia="楷体" w:hAnsi="楷体" w:cs="宋体" w:hint="eastAsia"/>
          <w:color w:val="000000"/>
          <w:kern w:val="0"/>
          <w:szCs w:val="21"/>
        </w:rPr>
        <w:t>时未能预计天</w:t>
      </w:r>
      <w:proofErr w:type="gramStart"/>
      <w:r w:rsidRPr="00EF514B">
        <w:rPr>
          <w:rFonts w:ascii="楷体" w:eastAsia="楷体" w:hAnsi="楷体" w:cs="宋体" w:hint="eastAsia"/>
          <w:color w:val="000000"/>
          <w:kern w:val="0"/>
          <w:szCs w:val="21"/>
        </w:rPr>
        <w:t>健现代</w:t>
      </w:r>
      <w:proofErr w:type="gramEnd"/>
      <w:r w:rsidRPr="00EF514B">
        <w:rPr>
          <w:rFonts w:ascii="楷体" w:eastAsia="楷体" w:hAnsi="楷体" w:cs="宋体" w:hint="eastAsia"/>
          <w:color w:val="000000"/>
          <w:kern w:val="0"/>
          <w:szCs w:val="21"/>
        </w:rPr>
        <w:t>城项目入伙延期导致收入减少、未考虑某项目的减值损失和未预计到某案败诉导致损失。</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三、姜永贵卖出</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深天健</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股票的情况</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2006年4月4日，姜永贵深圳股东账户委托证券营业部买入41,800股“深天健”，这些股票当日即被中国证券登记结算公司锁定；2007年5月18日，中国证券登记结算公司解锁10,450股；截至2008年1月11日，姜永贵持有10,450股“深天健”无限</w:t>
      </w:r>
      <w:proofErr w:type="gramStart"/>
      <w:r w:rsidRPr="00EF514B">
        <w:rPr>
          <w:rFonts w:ascii="楷体" w:eastAsia="楷体" w:hAnsi="楷体" w:cs="宋体" w:hint="eastAsia"/>
          <w:color w:val="000000"/>
          <w:kern w:val="0"/>
          <w:szCs w:val="21"/>
        </w:rPr>
        <w:t>售条件</w:t>
      </w:r>
      <w:proofErr w:type="gramEnd"/>
      <w:r w:rsidRPr="00EF514B">
        <w:rPr>
          <w:rFonts w:ascii="楷体" w:eastAsia="楷体" w:hAnsi="楷体" w:cs="宋体" w:hint="eastAsia"/>
          <w:color w:val="000000"/>
          <w:kern w:val="0"/>
          <w:szCs w:val="21"/>
        </w:rPr>
        <w:t>流通股。</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lastRenderedPageBreak/>
        <w:t>2008年1月14日9时38分，姜永贵用其办公室电脑（IP地址121.15.136.177）上网委托证券营业部卖出5,450股“深天健”，委托价格26元；当日9时44分55秒，该笔委托成交，成交金额141,700元、交易费用850.20元。当日9时50分，姜永贵以26.17元的价格委托卖出2,000股“深天健”，9时51分撤回该笔委托。卖出“深天健”所得资金用于申购新股和交易其他股票，未取出现金。</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经深圳证券交易所计算，以内幕信息公开日</w:t>
      </w:r>
      <w:r w:rsidRPr="00EF514B">
        <w:rPr>
          <w:rFonts w:ascii="楷体" w:eastAsia="楷体" w:hAnsi="楷体" w:cs="宋体" w:hint="eastAsia"/>
          <w:color w:val="000000"/>
          <w:kern w:val="0"/>
          <w:szCs w:val="21"/>
        </w:rPr>
        <w:t>2008</w:t>
      </w:r>
      <w:r w:rsidRPr="00EF514B">
        <w:rPr>
          <w:rFonts w:ascii="宋体" w:eastAsia="宋体" w:hAnsi="宋体" w:cs="宋体" w:hint="eastAsia"/>
          <w:color w:val="000000"/>
          <w:kern w:val="0"/>
          <w:szCs w:val="21"/>
        </w:rPr>
        <w:t>年</w:t>
      </w:r>
      <w:r w:rsidRPr="00EF514B">
        <w:rPr>
          <w:rFonts w:ascii="楷体" w:eastAsia="楷体" w:hAnsi="楷体" w:cs="宋体" w:hint="eastAsia"/>
          <w:color w:val="000000"/>
          <w:kern w:val="0"/>
          <w:szCs w:val="21"/>
        </w:rPr>
        <w:t>1</w:t>
      </w:r>
      <w:r w:rsidRPr="00EF514B">
        <w:rPr>
          <w:rFonts w:ascii="宋体" w:eastAsia="宋体" w:hAnsi="宋体" w:cs="宋体" w:hint="eastAsia"/>
          <w:color w:val="000000"/>
          <w:kern w:val="0"/>
          <w:szCs w:val="21"/>
        </w:rPr>
        <w:t>月</w:t>
      </w:r>
      <w:r w:rsidRPr="00EF514B">
        <w:rPr>
          <w:rFonts w:ascii="楷体" w:eastAsia="楷体" w:hAnsi="楷体" w:cs="宋体" w:hint="eastAsia"/>
          <w:color w:val="000000"/>
          <w:kern w:val="0"/>
          <w:szCs w:val="21"/>
        </w:rPr>
        <w:t>16</w:t>
      </w:r>
      <w:r w:rsidRPr="00EF514B">
        <w:rPr>
          <w:rFonts w:ascii="宋体" w:eastAsia="宋体" w:hAnsi="宋体" w:cs="宋体" w:hint="eastAsia"/>
          <w:color w:val="000000"/>
          <w:kern w:val="0"/>
          <w:szCs w:val="21"/>
        </w:rPr>
        <w:t>日为基准日，姜永贵内幕交易违法所得（规避的损失）为</w:t>
      </w:r>
      <w:r w:rsidRPr="00EF514B">
        <w:rPr>
          <w:rFonts w:ascii="楷体" w:eastAsia="楷体" w:hAnsi="楷体" w:cs="宋体" w:hint="eastAsia"/>
          <w:color w:val="000000"/>
          <w:kern w:val="0"/>
          <w:szCs w:val="21"/>
        </w:rPr>
        <w:t>2,964.80</w:t>
      </w:r>
      <w:r w:rsidRPr="00EF514B">
        <w:rPr>
          <w:rFonts w:ascii="宋体" w:eastAsia="宋体" w:hAnsi="宋体" w:cs="宋体" w:hint="eastAsia"/>
          <w:color w:val="000000"/>
          <w:kern w:val="0"/>
          <w:szCs w:val="21"/>
        </w:rPr>
        <w:t>元。</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上述事实，有账户交易记录、公司公告、会议记录及说明、询问笔录等证据证明，足以认定。</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我会认为，姜永贵</w:t>
      </w:r>
      <w:proofErr w:type="gramStart"/>
      <w:r w:rsidRPr="00EF514B">
        <w:rPr>
          <w:rFonts w:ascii="宋体" w:eastAsia="宋体" w:hAnsi="宋体" w:cs="宋体" w:hint="eastAsia"/>
          <w:color w:val="000000"/>
          <w:kern w:val="0"/>
          <w:szCs w:val="21"/>
        </w:rPr>
        <w:t>知悉深</w:t>
      </w:r>
      <w:proofErr w:type="gramEnd"/>
      <w:r w:rsidRPr="00EF514B">
        <w:rPr>
          <w:rFonts w:ascii="宋体" w:eastAsia="宋体" w:hAnsi="宋体" w:cs="宋体" w:hint="eastAsia"/>
          <w:color w:val="000000"/>
          <w:kern w:val="0"/>
          <w:szCs w:val="21"/>
        </w:rPr>
        <w:t>天健</w:t>
      </w:r>
      <w:r w:rsidRPr="00EF514B">
        <w:rPr>
          <w:rFonts w:ascii="楷体" w:eastAsia="楷体" w:hAnsi="楷体" w:cs="宋体" w:hint="eastAsia"/>
          <w:color w:val="000000"/>
          <w:kern w:val="0"/>
          <w:szCs w:val="21"/>
        </w:rPr>
        <w:t>2007</w:t>
      </w:r>
      <w:r w:rsidRPr="00EF514B">
        <w:rPr>
          <w:rFonts w:ascii="宋体" w:eastAsia="宋体" w:hAnsi="宋体" w:cs="宋体" w:hint="eastAsia"/>
          <w:color w:val="000000"/>
          <w:kern w:val="0"/>
          <w:szCs w:val="21"/>
        </w:rPr>
        <w:t>年度业绩快报信息后，卖出其本人持有的公司股票，违反了《证券法》第七十三条、第七十六条的规定，构成了《证券法》第二百零二条规定的</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证券交易内幕信息的知情人或者非法获取内幕信息的人，在涉及证券的发行、交易或者其他对证券的价格有重大影响的信息公开前，买卖该证券</w:t>
      </w:r>
      <w:r w:rsidRPr="00EF514B">
        <w:rPr>
          <w:rFonts w:ascii="楷体" w:eastAsia="楷体" w:hAnsi="楷体" w:cs="宋体" w:hint="eastAsia"/>
          <w:color w:val="000000"/>
          <w:kern w:val="0"/>
          <w:szCs w:val="21"/>
        </w:rPr>
        <w:t>”</w:t>
      </w:r>
      <w:r w:rsidRPr="00EF514B">
        <w:rPr>
          <w:rFonts w:ascii="宋体" w:eastAsia="宋体" w:hAnsi="宋体" w:cs="宋体" w:hint="eastAsia"/>
          <w:color w:val="000000"/>
          <w:kern w:val="0"/>
          <w:szCs w:val="21"/>
        </w:rPr>
        <w:t>的行为，应当依照《证券法》第二百零二条的规定予以处罚。</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根据当事人违法行为的事实、性质、情节与社会危害程度，依据《证券法》第二百零二条规定，我会决定：对姜永贵处以</w:t>
      </w:r>
      <w:r w:rsidRPr="00EF514B">
        <w:rPr>
          <w:rFonts w:ascii="楷体" w:eastAsia="楷体" w:hAnsi="楷体" w:cs="宋体" w:hint="eastAsia"/>
          <w:color w:val="000000"/>
          <w:kern w:val="0"/>
          <w:szCs w:val="21"/>
        </w:rPr>
        <w:t>8</w:t>
      </w:r>
      <w:r w:rsidRPr="00EF514B">
        <w:rPr>
          <w:rFonts w:ascii="宋体" w:eastAsia="宋体" w:hAnsi="宋体" w:cs="宋体" w:hint="eastAsia"/>
          <w:color w:val="000000"/>
          <w:kern w:val="0"/>
          <w:szCs w:val="21"/>
        </w:rPr>
        <w:t>万元罚款。</w:t>
      </w:r>
    </w:p>
    <w:p w:rsidR="00EF514B" w:rsidRPr="00EF514B" w:rsidRDefault="00EF514B" w:rsidP="00EF514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上述当事人应自收到本处罚决定书之日起</w:t>
      </w:r>
      <w:r w:rsidRPr="00EF514B">
        <w:rPr>
          <w:rFonts w:ascii="楷体" w:eastAsia="楷体" w:hAnsi="楷体" w:cs="宋体" w:hint="eastAsia"/>
          <w:color w:val="000000"/>
          <w:kern w:val="0"/>
          <w:szCs w:val="21"/>
        </w:rPr>
        <w:t>15</w:t>
      </w:r>
      <w:r w:rsidRPr="00EF514B">
        <w:rPr>
          <w:rFonts w:ascii="宋体" w:eastAsia="宋体" w:hAnsi="宋体" w:cs="宋体" w:hint="eastAsia"/>
          <w:color w:val="000000"/>
          <w:kern w:val="0"/>
          <w:szCs w:val="21"/>
        </w:rPr>
        <w:t>日内，将罚款汇交中国证券监督管理委员会（开户银行：中信银行总行营业部、账号</w:t>
      </w:r>
      <w:r w:rsidRPr="00EF514B">
        <w:rPr>
          <w:rFonts w:ascii="楷体" w:eastAsia="楷体" w:hAnsi="楷体" w:cs="宋体" w:hint="eastAsia"/>
          <w:color w:val="000000"/>
          <w:kern w:val="0"/>
          <w:szCs w:val="21"/>
        </w:rPr>
        <w:t>7111010189800000162</w:t>
      </w:r>
      <w:r w:rsidRPr="00EF514B">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EF514B">
        <w:rPr>
          <w:rFonts w:ascii="楷体" w:eastAsia="楷体" w:hAnsi="楷体" w:cs="宋体" w:hint="eastAsia"/>
          <w:color w:val="000000"/>
          <w:kern w:val="0"/>
          <w:szCs w:val="21"/>
        </w:rPr>
        <w:t>60</w:t>
      </w:r>
      <w:r w:rsidRPr="00EF514B">
        <w:rPr>
          <w:rFonts w:ascii="宋体" w:eastAsia="宋体" w:hAnsi="宋体" w:cs="宋体" w:hint="eastAsia"/>
          <w:color w:val="000000"/>
          <w:kern w:val="0"/>
          <w:szCs w:val="21"/>
        </w:rPr>
        <w:t>日内向中国证券监督管理委员会申请行政复议，也可在收到本处罚决定书之日起</w:t>
      </w:r>
      <w:r w:rsidRPr="00EF514B">
        <w:rPr>
          <w:rFonts w:ascii="楷体" w:eastAsia="楷体" w:hAnsi="楷体" w:cs="宋体" w:hint="eastAsia"/>
          <w:color w:val="000000"/>
          <w:kern w:val="0"/>
          <w:szCs w:val="21"/>
        </w:rPr>
        <w:t>3</w:t>
      </w:r>
      <w:r w:rsidRPr="00EF514B">
        <w:rPr>
          <w:rFonts w:ascii="宋体" w:eastAsia="宋体" w:hAnsi="宋体" w:cs="宋体" w:hint="eastAsia"/>
          <w:color w:val="000000"/>
          <w:kern w:val="0"/>
          <w:szCs w:val="21"/>
        </w:rPr>
        <w:t>个月内直接向有管辖权的人民法院提起行政诉讼。复议和诉讼期间，上述决定不停止执行。</w:t>
      </w:r>
    </w:p>
    <w:p w:rsidR="00EF514B" w:rsidRPr="00EF514B" w:rsidRDefault="00EF514B" w:rsidP="00EF514B">
      <w:pPr>
        <w:widowControl/>
        <w:shd w:val="clear" w:color="auto" w:fill="FFFFFF"/>
        <w:spacing w:line="360" w:lineRule="atLeast"/>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 </w:t>
      </w:r>
    </w:p>
    <w:p w:rsidR="00EF514B" w:rsidRPr="00EF514B" w:rsidRDefault="00EF514B" w:rsidP="00EF514B">
      <w:pPr>
        <w:widowControl/>
        <w:shd w:val="clear" w:color="auto" w:fill="FFFFFF"/>
        <w:spacing w:line="360" w:lineRule="atLeast"/>
        <w:ind w:firstLine="4869"/>
        <w:jc w:val="left"/>
        <w:rPr>
          <w:rFonts w:ascii="楷体" w:eastAsia="楷体" w:hAnsi="楷体" w:cs="宋体" w:hint="eastAsia"/>
          <w:color w:val="000000"/>
          <w:kern w:val="0"/>
          <w:sz w:val="24"/>
          <w:szCs w:val="24"/>
        </w:rPr>
      </w:pPr>
      <w:r w:rsidRPr="00EF514B">
        <w:rPr>
          <w:rFonts w:ascii="宋体" w:eastAsia="宋体" w:hAnsi="宋体" w:cs="宋体" w:hint="eastAsia"/>
          <w:color w:val="000000"/>
          <w:kern w:val="0"/>
          <w:szCs w:val="21"/>
        </w:rPr>
        <w:t xml:space="preserve">　　　　　　　　　　　　　　　　　　　　　 中国证券监督管理委员会</w:t>
      </w:r>
    </w:p>
    <w:p w:rsidR="00EF514B" w:rsidRPr="00EF514B" w:rsidRDefault="00EF514B" w:rsidP="00EF514B">
      <w:pPr>
        <w:widowControl/>
        <w:shd w:val="clear" w:color="auto" w:fill="FFFFFF"/>
        <w:spacing w:line="360" w:lineRule="atLeast"/>
        <w:jc w:val="center"/>
        <w:rPr>
          <w:rFonts w:ascii="楷体" w:eastAsia="楷体" w:hAnsi="楷体" w:cs="宋体" w:hint="eastAsia"/>
          <w:color w:val="000000"/>
          <w:kern w:val="0"/>
          <w:sz w:val="24"/>
          <w:szCs w:val="24"/>
        </w:rPr>
      </w:pPr>
      <w:r w:rsidRPr="00EF514B">
        <w:rPr>
          <w:rFonts w:ascii="楷体" w:eastAsia="楷体" w:hAnsi="楷体" w:cs="宋体" w:hint="eastAsia"/>
          <w:color w:val="000000"/>
          <w:kern w:val="0"/>
          <w:szCs w:val="21"/>
        </w:rPr>
        <w:t xml:space="preserve">　　</w:t>
      </w:r>
      <w:r w:rsidRPr="00EF514B">
        <w:rPr>
          <w:rFonts w:ascii="Calibri" w:eastAsia="楷体" w:hAnsi="Calibri" w:cs="Calibri"/>
          <w:color w:val="000000"/>
          <w:kern w:val="0"/>
          <w:szCs w:val="21"/>
        </w:rPr>
        <w:t>  </w:t>
      </w:r>
      <w:r w:rsidRPr="00EF514B">
        <w:rPr>
          <w:rFonts w:ascii="楷体" w:eastAsia="楷体" w:hAnsi="楷体" w:cs="宋体" w:hint="eastAsia"/>
          <w:color w:val="000000"/>
          <w:kern w:val="0"/>
          <w:szCs w:val="21"/>
        </w:rPr>
        <w:t xml:space="preserve">　　　　　</w:t>
      </w:r>
      <w:r w:rsidRPr="00EF514B">
        <w:rPr>
          <w:rFonts w:ascii="Calibri" w:eastAsia="楷体" w:hAnsi="Calibri" w:cs="Calibri"/>
          <w:color w:val="000000"/>
          <w:kern w:val="0"/>
          <w:szCs w:val="21"/>
        </w:rPr>
        <w:t> </w:t>
      </w:r>
      <w:r w:rsidRPr="00EF514B">
        <w:rPr>
          <w:rFonts w:ascii="楷体" w:eastAsia="楷体" w:hAnsi="楷体" w:cs="宋体" w:hint="eastAsia"/>
          <w:color w:val="000000"/>
          <w:kern w:val="0"/>
          <w:szCs w:val="21"/>
        </w:rPr>
        <w:t xml:space="preserve">　　　　　　　　　　　　　　　　　　　　　　　　　　　　　　　　　二○一○年六月三十日</w:t>
      </w:r>
    </w:p>
    <w:p w:rsidR="00EF514B" w:rsidRPr="00EF514B" w:rsidRDefault="00EF514B" w:rsidP="00EF514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F514B" w:rsidRPr="00EF514B" w:rsidTr="00EF514B">
        <w:trPr>
          <w:tblCellSpacing w:w="15" w:type="dxa"/>
          <w:jc w:val="center"/>
        </w:trPr>
        <w:tc>
          <w:tcPr>
            <w:tcW w:w="900" w:type="dxa"/>
            <w:vAlign w:val="center"/>
            <w:hideMark/>
          </w:tcPr>
          <w:p w:rsidR="00EF514B" w:rsidRPr="00EF514B" w:rsidRDefault="00EF514B" w:rsidP="00EF514B">
            <w:pPr>
              <w:widowControl/>
              <w:jc w:val="left"/>
              <w:rPr>
                <w:rFonts w:ascii="宋体" w:eastAsia="宋体" w:hAnsi="宋体" w:cs="宋体" w:hint="eastAsia"/>
                <w:kern w:val="0"/>
                <w:sz w:val="18"/>
                <w:szCs w:val="18"/>
              </w:rPr>
            </w:pPr>
            <w:r w:rsidRPr="00EF514B">
              <w:rPr>
                <w:rFonts w:ascii="宋体" w:eastAsia="宋体" w:hAnsi="宋体" w:cs="宋体"/>
                <w:kern w:val="0"/>
                <w:sz w:val="18"/>
                <w:szCs w:val="18"/>
              </w:rPr>
              <w:t> </w:t>
            </w:r>
          </w:p>
        </w:tc>
        <w:tc>
          <w:tcPr>
            <w:tcW w:w="1200" w:type="dxa"/>
            <w:vAlign w:val="center"/>
            <w:hideMark/>
          </w:tcPr>
          <w:p w:rsidR="00EF514B" w:rsidRPr="00EF514B" w:rsidRDefault="00EF514B" w:rsidP="00EF514B">
            <w:pPr>
              <w:widowControl/>
              <w:jc w:val="left"/>
              <w:rPr>
                <w:rFonts w:ascii="宋体" w:eastAsia="宋体" w:hAnsi="宋体" w:cs="宋体"/>
                <w:kern w:val="0"/>
                <w:sz w:val="18"/>
                <w:szCs w:val="18"/>
              </w:rPr>
            </w:pPr>
            <w:r w:rsidRPr="00EF514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F514B" w:rsidRPr="00EF514B" w:rsidRDefault="00EF514B" w:rsidP="00EF514B">
            <w:pPr>
              <w:widowControl/>
              <w:jc w:val="left"/>
              <w:rPr>
                <w:rFonts w:ascii="宋体" w:eastAsia="宋体" w:hAnsi="宋体" w:cs="宋体"/>
                <w:kern w:val="0"/>
                <w:sz w:val="18"/>
                <w:szCs w:val="18"/>
              </w:rPr>
            </w:pPr>
            <w:r w:rsidRPr="00EF514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F514B" w:rsidRPr="00EF514B" w:rsidRDefault="00EF514B" w:rsidP="00EF514B">
            <w:pPr>
              <w:widowControl/>
              <w:jc w:val="left"/>
              <w:rPr>
                <w:rFonts w:ascii="宋体" w:eastAsia="宋体" w:hAnsi="宋体" w:cs="宋体"/>
                <w:kern w:val="0"/>
                <w:sz w:val="18"/>
                <w:szCs w:val="18"/>
              </w:rPr>
            </w:pPr>
            <w:r w:rsidRPr="00EF514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F514B" w:rsidRPr="00EF514B" w:rsidRDefault="00EF514B" w:rsidP="00EF514B">
      <w:pPr>
        <w:widowControl/>
        <w:jc w:val="center"/>
        <w:rPr>
          <w:rFonts w:ascii="微软雅黑" w:eastAsia="微软雅黑" w:hAnsi="微软雅黑" w:cs="宋体"/>
          <w:color w:val="515151"/>
          <w:kern w:val="0"/>
          <w:sz w:val="18"/>
          <w:szCs w:val="18"/>
        </w:rPr>
      </w:pPr>
      <w:hyperlink r:id="rId11" w:tgtFrame="_blank" w:history="1">
        <w:r w:rsidRPr="00EF514B">
          <w:rPr>
            <w:rFonts w:ascii="微软雅黑" w:eastAsia="微软雅黑" w:hAnsi="微软雅黑" w:cs="宋体" w:hint="eastAsia"/>
            <w:color w:val="0000FF"/>
            <w:kern w:val="0"/>
            <w:sz w:val="18"/>
            <w:szCs w:val="18"/>
            <w:u w:val="single"/>
          </w:rPr>
          <w:t>关于我们</w:t>
        </w:r>
      </w:hyperlink>
      <w:r w:rsidRPr="00EF514B">
        <w:rPr>
          <w:rFonts w:ascii="微软雅黑" w:eastAsia="微软雅黑" w:hAnsi="微软雅黑" w:cs="宋体" w:hint="eastAsia"/>
          <w:color w:val="515151"/>
          <w:kern w:val="0"/>
          <w:sz w:val="18"/>
          <w:szCs w:val="18"/>
        </w:rPr>
        <w:t> - </w:t>
      </w:r>
      <w:hyperlink r:id="rId12" w:tgtFrame="_blank" w:history="1">
        <w:r w:rsidRPr="00EF514B">
          <w:rPr>
            <w:rFonts w:ascii="微软雅黑" w:eastAsia="微软雅黑" w:hAnsi="微软雅黑" w:cs="宋体" w:hint="eastAsia"/>
            <w:color w:val="0000FF"/>
            <w:kern w:val="0"/>
            <w:sz w:val="18"/>
            <w:szCs w:val="18"/>
            <w:u w:val="single"/>
          </w:rPr>
          <w:t>法律声明</w:t>
        </w:r>
      </w:hyperlink>
      <w:r w:rsidRPr="00EF514B">
        <w:rPr>
          <w:rFonts w:ascii="微软雅黑" w:eastAsia="微软雅黑" w:hAnsi="微软雅黑" w:cs="宋体" w:hint="eastAsia"/>
          <w:color w:val="515151"/>
          <w:kern w:val="0"/>
          <w:sz w:val="18"/>
          <w:szCs w:val="18"/>
        </w:rPr>
        <w:t> - </w:t>
      </w:r>
      <w:hyperlink r:id="rId13" w:tgtFrame="_blank" w:history="1">
        <w:r w:rsidRPr="00EF514B">
          <w:rPr>
            <w:rFonts w:ascii="微软雅黑" w:eastAsia="微软雅黑" w:hAnsi="微软雅黑" w:cs="宋体" w:hint="eastAsia"/>
            <w:color w:val="0000FF"/>
            <w:kern w:val="0"/>
            <w:sz w:val="18"/>
            <w:szCs w:val="18"/>
            <w:u w:val="single"/>
          </w:rPr>
          <w:t>联系我们</w:t>
        </w:r>
      </w:hyperlink>
    </w:p>
    <w:p w:rsidR="00EF514B" w:rsidRPr="00EF514B" w:rsidRDefault="00EF514B" w:rsidP="00EF514B">
      <w:pPr>
        <w:widowControl/>
        <w:jc w:val="center"/>
        <w:rPr>
          <w:rFonts w:ascii="微软雅黑" w:eastAsia="微软雅黑" w:hAnsi="微软雅黑" w:cs="宋体" w:hint="eastAsia"/>
          <w:color w:val="515151"/>
          <w:kern w:val="0"/>
          <w:sz w:val="18"/>
          <w:szCs w:val="18"/>
        </w:rPr>
      </w:pPr>
      <w:r w:rsidRPr="00EF514B">
        <w:rPr>
          <w:rFonts w:ascii="微软雅黑" w:eastAsia="微软雅黑" w:hAnsi="微软雅黑" w:cs="宋体" w:hint="eastAsia"/>
          <w:color w:val="515151"/>
          <w:kern w:val="0"/>
          <w:sz w:val="18"/>
          <w:szCs w:val="18"/>
        </w:rPr>
        <w:t>版权所有：中国证券监督管理委员会 京ICP备 05035542号</w:t>
      </w:r>
    </w:p>
    <w:p w:rsidR="00EF514B" w:rsidRPr="00EF514B" w:rsidRDefault="00EF514B" w:rsidP="00EF514B">
      <w:pPr>
        <w:widowControl/>
        <w:jc w:val="center"/>
        <w:rPr>
          <w:rFonts w:ascii="微软雅黑" w:eastAsia="微软雅黑" w:hAnsi="微软雅黑" w:cs="宋体" w:hint="eastAsia"/>
          <w:color w:val="515151"/>
          <w:kern w:val="0"/>
          <w:sz w:val="18"/>
          <w:szCs w:val="18"/>
        </w:rPr>
      </w:pPr>
      <w:r w:rsidRPr="00EF514B">
        <w:rPr>
          <w:rFonts w:ascii="微软雅黑" w:eastAsia="微软雅黑" w:hAnsi="微软雅黑" w:cs="宋体" w:hint="eastAsia"/>
          <w:color w:val="515151"/>
          <w:kern w:val="0"/>
          <w:sz w:val="18"/>
          <w:szCs w:val="18"/>
        </w:rPr>
        <w:t>地址：北京市西城区金融大街19号富凯大厦A座 邮编：100033</w:t>
      </w:r>
    </w:p>
    <w:p w:rsidR="00EF514B" w:rsidRPr="00EF514B" w:rsidRDefault="00EF514B" w:rsidP="00EF514B">
      <w:pPr>
        <w:widowControl/>
        <w:jc w:val="center"/>
        <w:rPr>
          <w:rFonts w:ascii="微软雅黑" w:eastAsia="微软雅黑" w:hAnsi="微软雅黑" w:cs="宋体" w:hint="eastAsia"/>
          <w:color w:val="515151"/>
          <w:kern w:val="0"/>
          <w:sz w:val="18"/>
          <w:szCs w:val="18"/>
        </w:rPr>
      </w:pPr>
      <w:r w:rsidRPr="00EF514B">
        <w:rPr>
          <w:rFonts w:ascii="微软雅黑" w:eastAsia="微软雅黑" w:hAnsi="微软雅黑" w:cs="宋体" w:hint="eastAsia"/>
          <w:color w:val="515151"/>
          <w:kern w:val="0"/>
          <w:sz w:val="18"/>
          <w:szCs w:val="18"/>
        </w:rPr>
        <w:t>建议使用IE5.5以上浏览器，分辨率1024*768</w:t>
      </w:r>
    </w:p>
    <w:p w:rsidR="005E7404" w:rsidRPr="00EF514B" w:rsidRDefault="005E7404"/>
    <w:sectPr w:rsidR="005E7404" w:rsidRPr="00EF5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4B"/>
    <w:rsid w:val="005E7404"/>
    <w:rsid w:val="00EF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BAFE-D7BB-490E-A356-3A930383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51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514B"/>
    <w:rPr>
      <w:b/>
      <w:bCs/>
    </w:rPr>
  </w:style>
  <w:style w:type="character" w:styleId="a5">
    <w:name w:val="Hyperlink"/>
    <w:basedOn w:val="a0"/>
    <w:uiPriority w:val="99"/>
    <w:semiHidden/>
    <w:unhideWhenUsed/>
    <w:rsid w:val="00EF51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72624">
      <w:bodyDiv w:val="1"/>
      <w:marLeft w:val="0"/>
      <w:marRight w:val="0"/>
      <w:marTop w:val="0"/>
      <w:marBottom w:val="0"/>
      <w:divBdr>
        <w:top w:val="none" w:sz="0" w:space="0" w:color="auto"/>
        <w:left w:val="none" w:sz="0" w:space="0" w:color="auto"/>
        <w:bottom w:val="none" w:sz="0" w:space="0" w:color="auto"/>
        <w:right w:val="none" w:sz="0" w:space="0" w:color="auto"/>
      </w:divBdr>
      <w:divsChild>
        <w:div w:id="1598827263">
          <w:marLeft w:val="0"/>
          <w:marRight w:val="0"/>
          <w:marTop w:val="150"/>
          <w:marBottom w:val="150"/>
          <w:divBdr>
            <w:top w:val="none" w:sz="0" w:space="0" w:color="auto"/>
            <w:left w:val="none" w:sz="0" w:space="0" w:color="auto"/>
            <w:bottom w:val="none" w:sz="0" w:space="0" w:color="auto"/>
            <w:right w:val="none" w:sz="0" w:space="0" w:color="auto"/>
          </w:divBdr>
        </w:div>
        <w:div w:id="926304107">
          <w:marLeft w:val="0"/>
          <w:marRight w:val="0"/>
          <w:marTop w:val="0"/>
          <w:marBottom w:val="0"/>
          <w:divBdr>
            <w:top w:val="single" w:sz="6" w:space="8" w:color="B5B5B5"/>
            <w:left w:val="single" w:sz="6" w:space="0" w:color="B5B5B5"/>
            <w:bottom w:val="single" w:sz="6" w:space="8" w:color="B5B5B5"/>
            <w:right w:val="single" w:sz="6" w:space="0" w:color="B5B5B5"/>
          </w:divBdr>
          <w:divsChild>
            <w:div w:id="380329827">
              <w:marLeft w:val="0"/>
              <w:marRight w:val="0"/>
              <w:marTop w:val="0"/>
              <w:marBottom w:val="0"/>
              <w:divBdr>
                <w:top w:val="none" w:sz="0" w:space="0" w:color="auto"/>
                <w:left w:val="none" w:sz="0" w:space="0" w:color="auto"/>
                <w:bottom w:val="none" w:sz="0" w:space="0" w:color="auto"/>
                <w:right w:val="none" w:sz="0" w:space="0" w:color="auto"/>
              </w:divBdr>
            </w:div>
            <w:div w:id="174811669">
              <w:marLeft w:val="0"/>
              <w:marRight w:val="0"/>
              <w:marTop w:val="0"/>
              <w:marBottom w:val="0"/>
              <w:divBdr>
                <w:top w:val="none" w:sz="0" w:space="0" w:color="auto"/>
                <w:left w:val="none" w:sz="0" w:space="0" w:color="auto"/>
                <w:bottom w:val="none" w:sz="0" w:space="0" w:color="auto"/>
                <w:right w:val="none" w:sz="0" w:space="0" w:color="auto"/>
              </w:divBdr>
            </w:div>
            <w:div w:id="1273321656">
              <w:marLeft w:val="0"/>
              <w:marRight w:val="0"/>
              <w:marTop w:val="120"/>
              <w:marBottom w:val="120"/>
              <w:divBdr>
                <w:top w:val="none" w:sz="0" w:space="0" w:color="auto"/>
                <w:left w:val="none" w:sz="0" w:space="0" w:color="auto"/>
                <w:bottom w:val="none" w:sz="0" w:space="0" w:color="auto"/>
                <w:right w:val="none" w:sz="0" w:space="0" w:color="auto"/>
              </w:divBdr>
            </w:div>
          </w:divsChild>
        </w:div>
        <w:div w:id="1949316865">
          <w:marLeft w:val="0"/>
          <w:marRight w:val="0"/>
          <w:marTop w:val="120"/>
          <w:marBottom w:val="0"/>
          <w:divBdr>
            <w:top w:val="none" w:sz="0" w:space="0" w:color="auto"/>
            <w:left w:val="none" w:sz="0" w:space="0" w:color="auto"/>
            <w:bottom w:val="none" w:sz="0" w:space="0" w:color="auto"/>
            <w:right w:val="none" w:sz="0" w:space="0" w:color="auto"/>
          </w:divBdr>
          <w:divsChild>
            <w:div w:id="1936281368">
              <w:marLeft w:val="0"/>
              <w:marRight w:val="0"/>
              <w:marTop w:val="60"/>
              <w:marBottom w:val="0"/>
              <w:divBdr>
                <w:top w:val="none" w:sz="0" w:space="0" w:color="auto"/>
                <w:left w:val="none" w:sz="0" w:space="0" w:color="auto"/>
                <w:bottom w:val="none" w:sz="0" w:space="0" w:color="auto"/>
                <w:right w:val="none" w:sz="0" w:space="0" w:color="auto"/>
              </w:divBdr>
            </w:div>
            <w:div w:id="1720469972">
              <w:marLeft w:val="0"/>
              <w:marRight w:val="0"/>
              <w:marTop w:val="60"/>
              <w:marBottom w:val="0"/>
              <w:divBdr>
                <w:top w:val="none" w:sz="0" w:space="0" w:color="auto"/>
                <w:left w:val="none" w:sz="0" w:space="0" w:color="auto"/>
                <w:bottom w:val="none" w:sz="0" w:space="0" w:color="auto"/>
                <w:right w:val="none" w:sz="0" w:space="0" w:color="auto"/>
              </w:divBdr>
            </w:div>
            <w:div w:id="1559584583">
              <w:marLeft w:val="0"/>
              <w:marRight w:val="0"/>
              <w:marTop w:val="60"/>
              <w:marBottom w:val="0"/>
              <w:divBdr>
                <w:top w:val="none" w:sz="0" w:space="0" w:color="auto"/>
                <w:left w:val="none" w:sz="0" w:space="0" w:color="auto"/>
                <w:bottom w:val="none" w:sz="0" w:space="0" w:color="auto"/>
                <w:right w:val="none" w:sz="0" w:space="0" w:color="auto"/>
              </w:divBdr>
            </w:div>
            <w:div w:id="14485442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12/t20101203_18830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2020-02-19T14:45:00Z</dcterms:created>
  <dcterms:modified xsi:type="dcterms:W3CDTF">2020-02-19T14:46:00Z</dcterms:modified>
</cp:coreProperties>
</file>