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B01" w:rsidRPr="00A00B01" w:rsidRDefault="00A00B01" w:rsidP="00A00B01">
      <w:pPr>
        <w:widowControl/>
        <w:jc w:val="center"/>
        <w:rPr>
          <w:rFonts w:ascii="微软雅黑" w:eastAsia="微软雅黑" w:hAnsi="微软雅黑" w:cs="宋体"/>
          <w:color w:val="000000"/>
          <w:kern w:val="0"/>
          <w:sz w:val="18"/>
          <w:szCs w:val="18"/>
        </w:rPr>
      </w:pPr>
      <w:r w:rsidRPr="00A00B0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00B01" w:rsidRPr="00A00B01" w:rsidTr="00A00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0B01" w:rsidRPr="00A00B01">
              <w:trPr>
                <w:tblCellSpacing w:w="0" w:type="dxa"/>
              </w:trPr>
              <w:tc>
                <w:tcPr>
                  <w:tcW w:w="2500" w:type="pct"/>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hint="eastAsia"/>
                      <w:color w:val="686868"/>
                      <w:kern w:val="0"/>
                      <w:sz w:val="18"/>
                      <w:szCs w:val="18"/>
                    </w:rPr>
                  </w:pPr>
                  <w:r w:rsidRPr="00A00B01">
                    <w:rPr>
                      <w:rFonts w:ascii="宋体" w:eastAsia="宋体" w:hAnsi="宋体" w:cs="宋体"/>
                      <w:b/>
                      <w:bCs/>
                      <w:color w:val="686868"/>
                      <w:kern w:val="0"/>
                      <w:sz w:val="18"/>
                      <w:szCs w:val="18"/>
                    </w:rPr>
                    <w:t>索 引 号:</w:t>
                  </w:r>
                  <w:r w:rsidRPr="00A00B01">
                    <w:rPr>
                      <w:rFonts w:ascii="宋体" w:eastAsia="宋体" w:hAnsi="宋体" w:cs="宋体"/>
                      <w:color w:val="686868"/>
                      <w:kern w:val="0"/>
                      <w:sz w:val="18"/>
                      <w:szCs w:val="18"/>
                    </w:rPr>
                    <w:t>40000895X/2011-07628</w:t>
                  </w:r>
                </w:p>
              </w:tc>
              <w:tc>
                <w:tcPr>
                  <w:tcW w:w="0" w:type="auto"/>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分类:</w:t>
                  </w:r>
                  <w:r w:rsidRPr="00A00B01">
                    <w:rPr>
                      <w:rFonts w:ascii="宋体" w:eastAsia="宋体" w:hAnsi="宋体" w:cs="宋体"/>
                      <w:color w:val="686868"/>
                      <w:kern w:val="0"/>
                      <w:sz w:val="18"/>
                      <w:szCs w:val="18"/>
                    </w:rPr>
                    <w:t> 行政处罚 ; 行政处罚决定</w:t>
                  </w:r>
                </w:p>
              </w:tc>
            </w:tr>
          </w:tbl>
          <w:p w:rsidR="00A00B01" w:rsidRPr="00A00B01" w:rsidRDefault="00A00B01" w:rsidP="00A00B01">
            <w:pPr>
              <w:widowControl/>
              <w:jc w:val="left"/>
              <w:rPr>
                <w:rFonts w:ascii="宋体" w:eastAsia="宋体" w:hAnsi="宋体" w:cs="宋体"/>
                <w:color w:val="686868"/>
                <w:kern w:val="0"/>
                <w:sz w:val="18"/>
                <w:szCs w:val="18"/>
              </w:rPr>
            </w:pPr>
          </w:p>
        </w:tc>
      </w:tr>
      <w:tr w:rsidR="00A00B01" w:rsidRPr="00A00B01" w:rsidTr="00A00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0B01" w:rsidRPr="00A00B01">
              <w:trPr>
                <w:tblCellSpacing w:w="0" w:type="dxa"/>
              </w:trPr>
              <w:tc>
                <w:tcPr>
                  <w:tcW w:w="2500" w:type="pct"/>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发布机构:</w:t>
                  </w:r>
                  <w:r w:rsidRPr="00A00B0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发文日期:</w:t>
                  </w:r>
                  <w:r w:rsidRPr="00A00B01">
                    <w:rPr>
                      <w:rFonts w:ascii="宋体" w:eastAsia="宋体" w:hAnsi="宋体" w:cs="宋体"/>
                      <w:color w:val="686868"/>
                      <w:kern w:val="0"/>
                      <w:sz w:val="18"/>
                      <w:szCs w:val="18"/>
                    </w:rPr>
                    <w:t> 2011年07月05日</w:t>
                  </w:r>
                </w:p>
              </w:tc>
            </w:tr>
          </w:tbl>
          <w:p w:rsidR="00A00B01" w:rsidRPr="00A00B01" w:rsidRDefault="00A00B01" w:rsidP="00A00B01">
            <w:pPr>
              <w:widowControl/>
              <w:jc w:val="left"/>
              <w:rPr>
                <w:rFonts w:ascii="宋体" w:eastAsia="宋体" w:hAnsi="宋体" w:cs="宋体"/>
                <w:color w:val="686868"/>
                <w:kern w:val="0"/>
                <w:sz w:val="18"/>
                <w:szCs w:val="18"/>
              </w:rPr>
            </w:pPr>
          </w:p>
        </w:tc>
      </w:tr>
      <w:tr w:rsidR="00A00B01" w:rsidRPr="00A00B01" w:rsidTr="00A00B01">
        <w:trPr>
          <w:tblCellSpacing w:w="0" w:type="dxa"/>
          <w:jc w:val="center"/>
        </w:trPr>
        <w:tc>
          <w:tcPr>
            <w:tcW w:w="0" w:type="auto"/>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名　　称:</w:t>
            </w:r>
            <w:r w:rsidRPr="00A00B01">
              <w:rPr>
                <w:rFonts w:ascii="宋体" w:eastAsia="宋体" w:hAnsi="宋体" w:cs="宋体"/>
                <w:color w:val="686868"/>
                <w:kern w:val="0"/>
                <w:sz w:val="18"/>
                <w:szCs w:val="18"/>
              </w:rPr>
              <w:t> 中国证监会行政处罚决定书（孙淑琴）</w:t>
            </w:r>
          </w:p>
        </w:tc>
      </w:tr>
      <w:tr w:rsidR="00A00B01" w:rsidRPr="00A00B01" w:rsidTr="00A00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00B01" w:rsidRPr="00A00B01">
              <w:trPr>
                <w:tblCellSpacing w:w="0" w:type="dxa"/>
              </w:trPr>
              <w:tc>
                <w:tcPr>
                  <w:tcW w:w="2500" w:type="pct"/>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文　　号:</w:t>
                  </w:r>
                  <w:r w:rsidRPr="00A00B01">
                    <w:rPr>
                      <w:rFonts w:ascii="宋体" w:eastAsia="宋体" w:hAnsi="宋体" w:cs="宋体"/>
                      <w:color w:val="686868"/>
                      <w:kern w:val="0"/>
                      <w:sz w:val="18"/>
                      <w:szCs w:val="18"/>
                    </w:rPr>
                    <w:t> </w:t>
                  </w:r>
                  <w:bookmarkStart w:id="0" w:name="_GoBack"/>
                  <w:r w:rsidRPr="00A00B01">
                    <w:rPr>
                      <w:rFonts w:ascii="宋体" w:eastAsia="宋体" w:hAnsi="宋体" w:cs="宋体"/>
                      <w:color w:val="686868"/>
                      <w:kern w:val="0"/>
                      <w:sz w:val="18"/>
                      <w:szCs w:val="18"/>
                    </w:rPr>
                    <w:t>〔2011〕28号</w:t>
                  </w:r>
                  <w:bookmarkEnd w:id="0"/>
                </w:p>
              </w:tc>
              <w:tc>
                <w:tcPr>
                  <w:tcW w:w="0" w:type="auto"/>
                  <w:tcMar>
                    <w:top w:w="30" w:type="dxa"/>
                    <w:left w:w="30" w:type="dxa"/>
                    <w:bottom w:w="30" w:type="dxa"/>
                    <w:right w:w="30" w:type="dxa"/>
                  </w:tcMar>
                  <w:hideMark/>
                </w:tcPr>
                <w:p w:rsidR="00A00B01" w:rsidRPr="00A00B01" w:rsidRDefault="00A00B01" w:rsidP="00A00B01">
                  <w:pPr>
                    <w:widowControl/>
                    <w:jc w:val="left"/>
                    <w:rPr>
                      <w:rFonts w:ascii="宋体" w:eastAsia="宋体" w:hAnsi="宋体" w:cs="宋体"/>
                      <w:color w:val="686868"/>
                      <w:kern w:val="0"/>
                      <w:sz w:val="18"/>
                      <w:szCs w:val="18"/>
                    </w:rPr>
                  </w:pPr>
                  <w:r w:rsidRPr="00A00B01">
                    <w:rPr>
                      <w:rFonts w:ascii="宋体" w:eastAsia="宋体" w:hAnsi="宋体" w:cs="宋体"/>
                      <w:b/>
                      <w:bCs/>
                      <w:color w:val="686868"/>
                      <w:kern w:val="0"/>
                      <w:sz w:val="18"/>
                      <w:szCs w:val="18"/>
                    </w:rPr>
                    <w:t>主 题 词:</w:t>
                  </w:r>
                </w:p>
              </w:tc>
            </w:tr>
          </w:tbl>
          <w:p w:rsidR="00A00B01" w:rsidRPr="00A00B01" w:rsidRDefault="00A00B01" w:rsidP="00A00B01">
            <w:pPr>
              <w:widowControl/>
              <w:jc w:val="left"/>
              <w:rPr>
                <w:rFonts w:ascii="宋体" w:eastAsia="宋体" w:hAnsi="宋体" w:cs="宋体"/>
                <w:color w:val="686868"/>
                <w:kern w:val="0"/>
                <w:sz w:val="18"/>
                <w:szCs w:val="18"/>
              </w:rPr>
            </w:pPr>
          </w:p>
        </w:tc>
      </w:tr>
    </w:tbl>
    <w:p w:rsidR="00A00B01" w:rsidRPr="00A00B01" w:rsidRDefault="00A00B01" w:rsidP="00A00B01">
      <w:pPr>
        <w:widowControl/>
        <w:jc w:val="center"/>
        <w:rPr>
          <w:rFonts w:ascii="微软雅黑" w:eastAsia="微软雅黑" w:hAnsi="微软雅黑" w:cs="宋体"/>
          <w:color w:val="000000"/>
          <w:kern w:val="0"/>
          <w:sz w:val="18"/>
          <w:szCs w:val="18"/>
        </w:rPr>
      </w:pPr>
      <w:r w:rsidRPr="00A00B01">
        <w:rPr>
          <w:rFonts w:ascii="微软雅黑" w:eastAsia="微软雅黑" w:hAnsi="微软雅黑" w:cs="宋体"/>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00B01" w:rsidRPr="00A00B01" w:rsidRDefault="00A00B01" w:rsidP="00A00B01">
      <w:pPr>
        <w:widowControl/>
        <w:shd w:val="clear" w:color="auto" w:fill="FFFFFF"/>
        <w:spacing w:after="240"/>
        <w:jc w:val="center"/>
        <w:rPr>
          <w:rFonts w:ascii="微软雅黑" w:eastAsia="微软雅黑" w:hAnsi="微软雅黑" w:cs="宋体" w:hint="eastAsia"/>
          <w:color w:val="000000"/>
          <w:kern w:val="0"/>
          <w:sz w:val="18"/>
          <w:szCs w:val="18"/>
        </w:rPr>
      </w:pPr>
      <w:r w:rsidRPr="00A00B01">
        <w:rPr>
          <w:rFonts w:ascii="微软雅黑" w:eastAsia="微软雅黑" w:hAnsi="微软雅黑" w:cs="宋体" w:hint="eastAsia"/>
          <w:color w:val="000000"/>
          <w:kern w:val="0"/>
          <w:sz w:val="18"/>
          <w:szCs w:val="18"/>
        </w:rPr>
        <w:br/>
      </w:r>
      <w:r w:rsidRPr="00A00B01">
        <w:rPr>
          <w:rFonts w:ascii="黑体" w:eastAsia="黑体" w:hAnsi="黑体" w:cs="宋体" w:hint="eastAsia"/>
          <w:b/>
          <w:bCs/>
          <w:color w:val="FF0000"/>
          <w:kern w:val="0"/>
          <w:sz w:val="36"/>
          <w:szCs w:val="36"/>
        </w:rPr>
        <w:t>中国证监会行政处罚决定书（孙淑琴）</w:t>
      </w:r>
    </w:p>
    <w:p w:rsidR="00A00B01" w:rsidRPr="00A00B01" w:rsidRDefault="00A00B01" w:rsidP="00A00B01">
      <w:pPr>
        <w:widowControl/>
        <w:shd w:val="clear" w:color="auto" w:fill="FFFFFF"/>
        <w:ind w:firstLine="420"/>
        <w:jc w:val="center"/>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〔2011〕28号</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当事人：孙淑琴，女，1967年4月出生，时任辽宁东港电磁线有限公司（以下简称东港公司）财务负责人，住址：辽宁省丹东市东港北井子镇。</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依据《中华人民共和国证券法》（以下简称《证券法》）的有关规定，我会对孙淑琴违反证券法律法规一案进行了立案调查、审理，并依法向当事人告知了</w:t>
      </w:r>
      <w:proofErr w:type="gramStart"/>
      <w:r w:rsidRPr="00A00B01">
        <w:rPr>
          <w:rFonts w:ascii="楷体" w:eastAsia="楷体" w:hAnsi="楷体" w:cs="宋体" w:hint="eastAsia"/>
          <w:color w:val="000000"/>
          <w:kern w:val="0"/>
          <w:szCs w:val="21"/>
        </w:rPr>
        <w:t>作出</w:t>
      </w:r>
      <w:proofErr w:type="gramEnd"/>
      <w:r w:rsidRPr="00A00B01">
        <w:rPr>
          <w:rFonts w:ascii="楷体" w:eastAsia="楷体" w:hAnsi="楷体" w:cs="宋体" w:hint="eastAsia"/>
          <w:color w:val="000000"/>
          <w:kern w:val="0"/>
          <w:szCs w:val="21"/>
        </w:rPr>
        <w:t>行政处罚的事实、理由、依据及当事人依法享有的权利。当事人未提出陈述、申辩意见。本案现已调查、审理终结。</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经查明，孙淑琴存在以下违法违规行为：</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2010年6月至8月，浙江上风实业股份有限公司（以下简称上风高科）与东港公司就上风高</w:t>
      </w:r>
      <w:proofErr w:type="gramStart"/>
      <w:r w:rsidRPr="00A00B01">
        <w:rPr>
          <w:rFonts w:ascii="楷体" w:eastAsia="楷体" w:hAnsi="楷体" w:cs="宋体" w:hint="eastAsia"/>
          <w:color w:val="000000"/>
          <w:kern w:val="0"/>
          <w:szCs w:val="21"/>
        </w:rPr>
        <w:t>科收购</w:t>
      </w:r>
      <w:proofErr w:type="gramEnd"/>
      <w:r w:rsidRPr="00A00B01">
        <w:rPr>
          <w:rFonts w:ascii="楷体" w:eastAsia="楷体" w:hAnsi="楷体" w:cs="宋体" w:hint="eastAsia"/>
          <w:color w:val="000000"/>
          <w:kern w:val="0"/>
          <w:szCs w:val="21"/>
        </w:rPr>
        <w:t>后者股权一事进行接触、考察、商谈并达成协议。2010年9月1日，双方签订资产收购协议并安排股票停牌。由于东港公司2009年度的营业收入已超过上风高科</w:t>
      </w:r>
      <w:proofErr w:type="gramStart"/>
      <w:r w:rsidRPr="00A00B01">
        <w:rPr>
          <w:rFonts w:ascii="楷体" w:eastAsia="楷体" w:hAnsi="楷体" w:cs="宋体" w:hint="eastAsia"/>
          <w:color w:val="000000"/>
          <w:kern w:val="0"/>
          <w:szCs w:val="21"/>
        </w:rPr>
        <w:t>同期经</w:t>
      </w:r>
      <w:proofErr w:type="gramEnd"/>
      <w:r w:rsidRPr="00A00B01">
        <w:rPr>
          <w:rFonts w:ascii="楷体" w:eastAsia="楷体" w:hAnsi="楷体" w:cs="宋体" w:hint="eastAsia"/>
          <w:color w:val="000000"/>
          <w:kern w:val="0"/>
          <w:szCs w:val="21"/>
        </w:rPr>
        <w:t>审计收入的50%，根据《上市公司重大资产重组管理办法》第十一条第一款第（二）项规定，上风高科对东港公司股权的收购构成上市公司对外重大资产购买行为。该事件在公布之前，属于《证券法》第六十七条第二款第（二）项所述上市公司重大资产购买事件，依据《证券法》第七十五条第二款的规定，构成内幕信息。内幕信息的价格敏感期为2010年6月24日上风高科与东港公司就收购后者股权达成比较明确的意向至2010年9月1日上风高科股票停牌。</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2010年8月下旬，东港公司财务负责人孙淑琴偶然发现上风高</w:t>
      </w:r>
      <w:proofErr w:type="gramStart"/>
      <w:r w:rsidRPr="00A00B01">
        <w:rPr>
          <w:rFonts w:ascii="楷体" w:eastAsia="楷体" w:hAnsi="楷体" w:cs="宋体" w:hint="eastAsia"/>
          <w:color w:val="000000"/>
          <w:kern w:val="0"/>
          <w:szCs w:val="21"/>
        </w:rPr>
        <w:t>科收购</w:t>
      </w:r>
      <w:proofErr w:type="gramEnd"/>
      <w:r w:rsidRPr="00A00B01">
        <w:rPr>
          <w:rFonts w:ascii="楷体" w:eastAsia="楷体" w:hAnsi="楷体" w:cs="宋体" w:hint="eastAsia"/>
          <w:color w:val="000000"/>
          <w:kern w:val="0"/>
          <w:szCs w:val="21"/>
        </w:rPr>
        <w:t>东港公司股权的电子文档，知悉了前述内幕信息。2010年8月31日，孙淑琴操作德</w:t>
      </w:r>
      <w:proofErr w:type="gramStart"/>
      <w:r w:rsidRPr="00A00B01">
        <w:rPr>
          <w:rFonts w:ascii="楷体" w:eastAsia="楷体" w:hAnsi="楷体" w:cs="宋体" w:hint="eastAsia"/>
          <w:color w:val="000000"/>
          <w:kern w:val="0"/>
          <w:szCs w:val="21"/>
        </w:rPr>
        <w:t>邦</w:t>
      </w:r>
      <w:proofErr w:type="gramEnd"/>
      <w:r w:rsidRPr="00A00B01">
        <w:rPr>
          <w:rFonts w:ascii="楷体" w:eastAsia="楷体" w:hAnsi="楷体" w:cs="宋体" w:hint="eastAsia"/>
          <w:color w:val="000000"/>
          <w:kern w:val="0"/>
          <w:szCs w:val="21"/>
        </w:rPr>
        <w:t>证券辽宁东港黄海大街营业部同名证券账户买入上风高科股票8,200股，买入金额84,134.05元。9月29日上风高科股票复牌后，孙淑琴账户卖出前述股票，卖出金额91,410.82元，获利7,276.77元。</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我会调查时，孙淑琴积极配合有关部门工作，其买卖上风高科股票获利7,276.77元已上缴上市公司。</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以上事实，有上风高科公告、当事人的询问笔录以及股票交易记录等证据证明，足以认定。</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当事人上述行为，违反了《证券法》第七十六条的规定，构成了《证券法》第二百零二条所述违法行为。</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根据当事人违法行为的事实、性质、情节与社会危害程度，依据《证券法》第二百零二条的规定，我会决定：对孙淑琴处以3万元罚款。</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lastRenderedPageBreak/>
        <w:t>鉴于孙淑琴已将违法获利7,276.77元上缴至上风高科，在执行行政处罚决定时，7,276.77元从上风高科收缴，22,723.23元由孙淑琴缴纳。</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明当事人名称的付款凭证复印件送中国证券监督管理委员会稽查局备案。如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ind w:firstLine="420"/>
        <w:jc w:val="left"/>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 xml:space="preserve">　　　　　　　　　　　　　　　　　　　　　　　　　　　　</w:t>
      </w:r>
      <w:r w:rsidRPr="00A00B01">
        <w:rPr>
          <w:rFonts w:ascii="Calibri" w:eastAsia="楷体" w:hAnsi="Calibri" w:cs="Calibri"/>
          <w:color w:val="000000"/>
          <w:kern w:val="0"/>
          <w:szCs w:val="21"/>
        </w:rPr>
        <w:t> </w:t>
      </w:r>
      <w:r w:rsidRPr="00A00B01">
        <w:rPr>
          <w:rFonts w:ascii="楷体" w:eastAsia="楷体" w:hAnsi="楷体" w:cs="宋体" w:hint="eastAsia"/>
          <w:color w:val="000000"/>
          <w:kern w:val="0"/>
          <w:szCs w:val="21"/>
        </w:rPr>
        <w:t xml:space="preserve"> 　中国证券监督管理委员会</w:t>
      </w:r>
    </w:p>
    <w:p w:rsidR="00A00B01" w:rsidRPr="00A00B01" w:rsidRDefault="00A00B01" w:rsidP="00A00B01">
      <w:pPr>
        <w:widowControl/>
        <w:shd w:val="clear" w:color="auto" w:fill="FFFFFF"/>
        <w:ind w:firstLine="420"/>
        <w:jc w:val="center"/>
        <w:rPr>
          <w:rFonts w:ascii="宋体" w:eastAsia="宋体" w:hAnsi="宋体" w:cs="宋体" w:hint="eastAsia"/>
          <w:color w:val="000000"/>
          <w:kern w:val="0"/>
          <w:szCs w:val="21"/>
        </w:rPr>
      </w:pPr>
      <w:r w:rsidRPr="00A00B01">
        <w:rPr>
          <w:rFonts w:ascii="楷体" w:eastAsia="楷体" w:hAnsi="楷体" w:cs="宋体" w:hint="eastAsia"/>
          <w:color w:val="000000"/>
          <w:kern w:val="0"/>
          <w:szCs w:val="21"/>
        </w:rPr>
        <w:t xml:space="preserve">　　</w:t>
      </w:r>
      <w:r w:rsidRPr="00A00B01">
        <w:rPr>
          <w:rFonts w:ascii="Calibri" w:eastAsia="楷体" w:hAnsi="Calibri" w:cs="Calibri"/>
          <w:color w:val="000000"/>
          <w:kern w:val="0"/>
          <w:szCs w:val="21"/>
        </w:rPr>
        <w:t>  </w:t>
      </w:r>
      <w:r w:rsidRPr="00A00B01">
        <w:rPr>
          <w:rFonts w:ascii="楷体" w:eastAsia="楷体" w:hAnsi="楷体" w:cs="宋体" w:hint="eastAsia"/>
          <w:color w:val="000000"/>
          <w:kern w:val="0"/>
          <w:szCs w:val="21"/>
        </w:rPr>
        <w:t xml:space="preserve">　　　　</w:t>
      </w:r>
      <w:r w:rsidRPr="00A00B01">
        <w:rPr>
          <w:rFonts w:ascii="Calibri" w:eastAsia="楷体" w:hAnsi="Calibri" w:cs="Calibri"/>
          <w:color w:val="000000"/>
          <w:kern w:val="0"/>
          <w:szCs w:val="21"/>
        </w:rPr>
        <w:t> </w:t>
      </w:r>
      <w:r w:rsidRPr="00A00B01">
        <w:rPr>
          <w:rFonts w:ascii="楷体" w:eastAsia="楷体" w:hAnsi="楷体" w:cs="宋体" w:hint="eastAsia"/>
          <w:color w:val="000000"/>
          <w:kern w:val="0"/>
          <w:szCs w:val="21"/>
        </w:rPr>
        <w:t xml:space="preserve">　　　　二○一一年七月五日</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spacing w:before="90" w:after="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spacing w:before="90"/>
        <w:ind w:firstLine="420"/>
        <w:jc w:val="left"/>
        <w:rPr>
          <w:rFonts w:ascii="宋体" w:eastAsia="宋体" w:hAnsi="宋体" w:cs="宋体" w:hint="eastAsia"/>
          <w:color w:val="000000"/>
          <w:kern w:val="0"/>
          <w:szCs w:val="21"/>
        </w:rPr>
      </w:pPr>
      <w:r w:rsidRPr="00A00B01">
        <w:rPr>
          <w:rFonts w:ascii="宋体" w:eastAsia="宋体" w:hAnsi="宋体" w:cs="宋体" w:hint="eastAsia"/>
          <w:color w:val="000000"/>
          <w:kern w:val="0"/>
          <w:szCs w:val="21"/>
        </w:rPr>
        <w:t> </w:t>
      </w:r>
    </w:p>
    <w:p w:rsidR="00A00B01" w:rsidRPr="00A00B01" w:rsidRDefault="00A00B01" w:rsidP="00A00B0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00B01" w:rsidRPr="00A00B01" w:rsidTr="00A00B01">
        <w:trPr>
          <w:tblCellSpacing w:w="15" w:type="dxa"/>
          <w:jc w:val="center"/>
        </w:trPr>
        <w:tc>
          <w:tcPr>
            <w:tcW w:w="900" w:type="dxa"/>
            <w:vAlign w:val="center"/>
            <w:hideMark/>
          </w:tcPr>
          <w:p w:rsidR="00A00B01" w:rsidRPr="00A00B01" w:rsidRDefault="00A00B01" w:rsidP="00A00B01">
            <w:pPr>
              <w:widowControl/>
              <w:jc w:val="left"/>
              <w:rPr>
                <w:rFonts w:ascii="宋体" w:eastAsia="宋体" w:hAnsi="宋体" w:cs="宋体" w:hint="eastAsia"/>
                <w:kern w:val="0"/>
                <w:sz w:val="18"/>
                <w:szCs w:val="18"/>
              </w:rPr>
            </w:pPr>
            <w:r w:rsidRPr="00A00B01">
              <w:rPr>
                <w:rFonts w:ascii="宋体" w:eastAsia="宋体" w:hAnsi="宋体" w:cs="宋体"/>
                <w:kern w:val="0"/>
                <w:sz w:val="18"/>
                <w:szCs w:val="18"/>
              </w:rPr>
              <w:t> </w:t>
            </w:r>
          </w:p>
        </w:tc>
        <w:tc>
          <w:tcPr>
            <w:tcW w:w="1200" w:type="dxa"/>
            <w:vAlign w:val="center"/>
            <w:hideMark/>
          </w:tcPr>
          <w:p w:rsidR="00A00B01" w:rsidRPr="00A00B01" w:rsidRDefault="00A00B01" w:rsidP="00A00B01">
            <w:pPr>
              <w:widowControl/>
              <w:jc w:val="left"/>
              <w:rPr>
                <w:rFonts w:ascii="宋体" w:eastAsia="宋体" w:hAnsi="宋体" w:cs="宋体"/>
                <w:kern w:val="0"/>
                <w:sz w:val="18"/>
                <w:szCs w:val="18"/>
              </w:rPr>
            </w:pPr>
            <w:r w:rsidRPr="00A00B0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00B01" w:rsidRPr="00A00B01" w:rsidRDefault="00A00B01" w:rsidP="00A00B01">
            <w:pPr>
              <w:widowControl/>
              <w:jc w:val="left"/>
              <w:rPr>
                <w:rFonts w:ascii="宋体" w:eastAsia="宋体" w:hAnsi="宋体" w:cs="宋体"/>
                <w:kern w:val="0"/>
                <w:sz w:val="18"/>
                <w:szCs w:val="18"/>
              </w:rPr>
            </w:pPr>
            <w:r w:rsidRPr="00A00B0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00B01" w:rsidRPr="00A00B01" w:rsidRDefault="00A00B01" w:rsidP="00A00B01">
            <w:pPr>
              <w:widowControl/>
              <w:jc w:val="left"/>
              <w:rPr>
                <w:rFonts w:ascii="宋体" w:eastAsia="宋体" w:hAnsi="宋体" w:cs="宋体"/>
                <w:kern w:val="0"/>
                <w:sz w:val="18"/>
                <w:szCs w:val="18"/>
              </w:rPr>
            </w:pPr>
            <w:r w:rsidRPr="00A00B0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00B01" w:rsidRPr="00A00B01" w:rsidRDefault="00A00B01" w:rsidP="00A00B01">
      <w:pPr>
        <w:widowControl/>
        <w:jc w:val="center"/>
        <w:rPr>
          <w:rFonts w:ascii="微软雅黑" w:eastAsia="微软雅黑" w:hAnsi="微软雅黑" w:cs="宋体"/>
          <w:color w:val="515151"/>
          <w:kern w:val="0"/>
          <w:sz w:val="18"/>
          <w:szCs w:val="18"/>
        </w:rPr>
      </w:pPr>
      <w:hyperlink r:id="rId11" w:tgtFrame="_blank" w:history="1">
        <w:r w:rsidRPr="00A00B01">
          <w:rPr>
            <w:rFonts w:ascii="微软雅黑" w:eastAsia="微软雅黑" w:hAnsi="微软雅黑" w:cs="宋体" w:hint="eastAsia"/>
            <w:color w:val="0000FF"/>
            <w:kern w:val="0"/>
            <w:sz w:val="18"/>
            <w:szCs w:val="18"/>
            <w:u w:val="single"/>
          </w:rPr>
          <w:t>关于我们</w:t>
        </w:r>
      </w:hyperlink>
      <w:r w:rsidRPr="00A00B01">
        <w:rPr>
          <w:rFonts w:ascii="微软雅黑" w:eastAsia="微软雅黑" w:hAnsi="微软雅黑" w:cs="宋体" w:hint="eastAsia"/>
          <w:color w:val="515151"/>
          <w:kern w:val="0"/>
          <w:sz w:val="18"/>
          <w:szCs w:val="18"/>
        </w:rPr>
        <w:t> - </w:t>
      </w:r>
      <w:hyperlink r:id="rId12" w:tgtFrame="_blank" w:history="1">
        <w:r w:rsidRPr="00A00B01">
          <w:rPr>
            <w:rFonts w:ascii="微软雅黑" w:eastAsia="微软雅黑" w:hAnsi="微软雅黑" w:cs="宋体" w:hint="eastAsia"/>
            <w:color w:val="0000FF"/>
            <w:kern w:val="0"/>
            <w:sz w:val="18"/>
            <w:szCs w:val="18"/>
            <w:u w:val="single"/>
          </w:rPr>
          <w:t>法律声明</w:t>
        </w:r>
      </w:hyperlink>
      <w:r w:rsidRPr="00A00B01">
        <w:rPr>
          <w:rFonts w:ascii="微软雅黑" w:eastAsia="微软雅黑" w:hAnsi="微软雅黑" w:cs="宋体" w:hint="eastAsia"/>
          <w:color w:val="515151"/>
          <w:kern w:val="0"/>
          <w:sz w:val="18"/>
          <w:szCs w:val="18"/>
        </w:rPr>
        <w:t> - </w:t>
      </w:r>
      <w:hyperlink r:id="rId13" w:tgtFrame="_blank" w:history="1">
        <w:r w:rsidRPr="00A00B01">
          <w:rPr>
            <w:rFonts w:ascii="微软雅黑" w:eastAsia="微软雅黑" w:hAnsi="微软雅黑" w:cs="宋体" w:hint="eastAsia"/>
            <w:color w:val="0000FF"/>
            <w:kern w:val="0"/>
            <w:sz w:val="18"/>
            <w:szCs w:val="18"/>
            <w:u w:val="single"/>
          </w:rPr>
          <w:t>联系我们</w:t>
        </w:r>
      </w:hyperlink>
    </w:p>
    <w:p w:rsidR="00A00B01" w:rsidRPr="00A00B01" w:rsidRDefault="00A00B01" w:rsidP="00A00B01">
      <w:pPr>
        <w:widowControl/>
        <w:jc w:val="center"/>
        <w:rPr>
          <w:rFonts w:ascii="微软雅黑" w:eastAsia="微软雅黑" w:hAnsi="微软雅黑" w:cs="宋体" w:hint="eastAsia"/>
          <w:color w:val="515151"/>
          <w:kern w:val="0"/>
          <w:sz w:val="18"/>
          <w:szCs w:val="18"/>
        </w:rPr>
      </w:pPr>
      <w:r w:rsidRPr="00A00B01">
        <w:rPr>
          <w:rFonts w:ascii="微软雅黑" w:eastAsia="微软雅黑" w:hAnsi="微软雅黑" w:cs="宋体" w:hint="eastAsia"/>
          <w:color w:val="515151"/>
          <w:kern w:val="0"/>
          <w:sz w:val="18"/>
          <w:szCs w:val="18"/>
        </w:rPr>
        <w:t>版权所有：中国证券监督管理委员会 京ICP备 05035542号</w:t>
      </w:r>
    </w:p>
    <w:p w:rsidR="00A00B01" w:rsidRPr="00A00B01" w:rsidRDefault="00A00B01" w:rsidP="00A00B01">
      <w:pPr>
        <w:widowControl/>
        <w:jc w:val="center"/>
        <w:rPr>
          <w:rFonts w:ascii="微软雅黑" w:eastAsia="微软雅黑" w:hAnsi="微软雅黑" w:cs="宋体" w:hint="eastAsia"/>
          <w:color w:val="515151"/>
          <w:kern w:val="0"/>
          <w:sz w:val="18"/>
          <w:szCs w:val="18"/>
        </w:rPr>
      </w:pPr>
      <w:r w:rsidRPr="00A00B01">
        <w:rPr>
          <w:rFonts w:ascii="微软雅黑" w:eastAsia="微软雅黑" w:hAnsi="微软雅黑" w:cs="宋体" w:hint="eastAsia"/>
          <w:color w:val="515151"/>
          <w:kern w:val="0"/>
          <w:sz w:val="18"/>
          <w:szCs w:val="18"/>
        </w:rPr>
        <w:t>地址：北京市西城区金融大街19号富凯大厦A座 邮编：100033</w:t>
      </w:r>
    </w:p>
    <w:p w:rsidR="00A00B01" w:rsidRPr="00A00B01" w:rsidRDefault="00A00B01" w:rsidP="00A00B01">
      <w:pPr>
        <w:widowControl/>
        <w:jc w:val="center"/>
        <w:rPr>
          <w:rFonts w:ascii="微软雅黑" w:eastAsia="微软雅黑" w:hAnsi="微软雅黑" w:cs="宋体" w:hint="eastAsia"/>
          <w:color w:val="515151"/>
          <w:kern w:val="0"/>
          <w:sz w:val="18"/>
          <w:szCs w:val="18"/>
        </w:rPr>
      </w:pPr>
      <w:r w:rsidRPr="00A00B01">
        <w:rPr>
          <w:rFonts w:ascii="微软雅黑" w:eastAsia="微软雅黑" w:hAnsi="微软雅黑" w:cs="宋体" w:hint="eastAsia"/>
          <w:color w:val="515151"/>
          <w:kern w:val="0"/>
          <w:sz w:val="18"/>
          <w:szCs w:val="18"/>
        </w:rPr>
        <w:t>建议使用IE5.5以上浏览器，分辨率1024*768</w:t>
      </w:r>
    </w:p>
    <w:p w:rsidR="006818BC" w:rsidRPr="00A00B01" w:rsidRDefault="006818BC"/>
    <w:sectPr w:rsidR="006818BC" w:rsidRPr="00A00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01"/>
    <w:rsid w:val="006818BC"/>
    <w:rsid w:val="00A00B01"/>
    <w:rsid w:val="00B5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A45D2-F455-472B-8C74-5FC213C3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B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0B01"/>
    <w:rPr>
      <w:b/>
      <w:bCs/>
    </w:rPr>
  </w:style>
  <w:style w:type="character" w:styleId="a5">
    <w:name w:val="Hyperlink"/>
    <w:basedOn w:val="a0"/>
    <w:uiPriority w:val="99"/>
    <w:semiHidden/>
    <w:unhideWhenUsed/>
    <w:rsid w:val="00A00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15920">
      <w:bodyDiv w:val="1"/>
      <w:marLeft w:val="0"/>
      <w:marRight w:val="0"/>
      <w:marTop w:val="0"/>
      <w:marBottom w:val="0"/>
      <w:divBdr>
        <w:top w:val="none" w:sz="0" w:space="0" w:color="auto"/>
        <w:left w:val="none" w:sz="0" w:space="0" w:color="auto"/>
        <w:bottom w:val="none" w:sz="0" w:space="0" w:color="auto"/>
        <w:right w:val="none" w:sz="0" w:space="0" w:color="auto"/>
      </w:divBdr>
      <w:divsChild>
        <w:div w:id="876741017">
          <w:marLeft w:val="0"/>
          <w:marRight w:val="0"/>
          <w:marTop w:val="150"/>
          <w:marBottom w:val="150"/>
          <w:divBdr>
            <w:top w:val="none" w:sz="0" w:space="0" w:color="auto"/>
            <w:left w:val="none" w:sz="0" w:space="0" w:color="auto"/>
            <w:bottom w:val="none" w:sz="0" w:space="0" w:color="auto"/>
            <w:right w:val="none" w:sz="0" w:space="0" w:color="auto"/>
          </w:divBdr>
        </w:div>
        <w:div w:id="921987679">
          <w:marLeft w:val="0"/>
          <w:marRight w:val="0"/>
          <w:marTop w:val="0"/>
          <w:marBottom w:val="0"/>
          <w:divBdr>
            <w:top w:val="single" w:sz="6" w:space="8" w:color="B5B5B5"/>
            <w:left w:val="single" w:sz="6" w:space="0" w:color="B5B5B5"/>
            <w:bottom w:val="single" w:sz="6" w:space="8" w:color="B5B5B5"/>
            <w:right w:val="single" w:sz="6" w:space="0" w:color="B5B5B5"/>
          </w:divBdr>
          <w:divsChild>
            <w:div w:id="1432704644">
              <w:marLeft w:val="0"/>
              <w:marRight w:val="0"/>
              <w:marTop w:val="0"/>
              <w:marBottom w:val="0"/>
              <w:divBdr>
                <w:top w:val="none" w:sz="0" w:space="0" w:color="auto"/>
                <w:left w:val="none" w:sz="0" w:space="0" w:color="auto"/>
                <w:bottom w:val="none" w:sz="0" w:space="0" w:color="auto"/>
                <w:right w:val="none" w:sz="0" w:space="0" w:color="auto"/>
              </w:divBdr>
            </w:div>
            <w:div w:id="1707219240">
              <w:marLeft w:val="0"/>
              <w:marRight w:val="0"/>
              <w:marTop w:val="0"/>
              <w:marBottom w:val="0"/>
              <w:divBdr>
                <w:top w:val="none" w:sz="0" w:space="0" w:color="auto"/>
                <w:left w:val="none" w:sz="0" w:space="0" w:color="auto"/>
                <w:bottom w:val="none" w:sz="0" w:space="0" w:color="auto"/>
                <w:right w:val="none" w:sz="0" w:space="0" w:color="auto"/>
              </w:divBdr>
              <w:divsChild>
                <w:div w:id="1215122593">
                  <w:marLeft w:val="0"/>
                  <w:marRight w:val="0"/>
                  <w:marTop w:val="90"/>
                  <w:marBottom w:val="90"/>
                  <w:divBdr>
                    <w:top w:val="none" w:sz="0" w:space="0" w:color="auto"/>
                    <w:left w:val="none" w:sz="0" w:space="0" w:color="auto"/>
                    <w:bottom w:val="none" w:sz="0" w:space="0" w:color="auto"/>
                    <w:right w:val="none" w:sz="0" w:space="0" w:color="auto"/>
                  </w:divBdr>
                  <w:divsChild>
                    <w:div w:id="83757418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70390701">
              <w:marLeft w:val="0"/>
              <w:marRight w:val="0"/>
              <w:marTop w:val="120"/>
              <w:marBottom w:val="120"/>
              <w:divBdr>
                <w:top w:val="none" w:sz="0" w:space="0" w:color="auto"/>
                <w:left w:val="none" w:sz="0" w:space="0" w:color="auto"/>
                <w:bottom w:val="none" w:sz="0" w:space="0" w:color="auto"/>
                <w:right w:val="none" w:sz="0" w:space="0" w:color="auto"/>
              </w:divBdr>
            </w:div>
          </w:divsChild>
        </w:div>
        <w:div w:id="1050348032">
          <w:marLeft w:val="0"/>
          <w:marRight w:val="0"/>
          <w:marTop w:val="120"/>
          <w:marBottom w:val="0"/>
          <w:divBdr>
            <w:top w:val="none" w:sz="0" w:space="0" w:color="auto"/>
            <w:left w:val="none" w:sz="0" w:space="0" w:color="auto"/>
            <w:bottom w:val="none" w:sz="0" w:space="0" w:color="auto"/>
            <w:right w:val="none" w:sz="0" w:space="0" w:color="auto"/>
          </w:divBdr>
          <w:divsChild>
            <w:div w:id="1466392647">
              <w:marLeft w:val="0"/>
              <w:marRight w:val="0"/>
              <w:marTop w:val="60"/>
              <w:marBottom w:val="0"/>
              <w:divBdr>
                <w:top w:val="none" w:sz="0" w:space="0" w:color="auto"/>
                <w:left w:val="none" w:sz="0" w:space="0" w:color="auto"/>
                <w:bottom w:val="none" w:sz="0" w:space="0" w:color="auto"/>
                <w:right w:val="none" w:sz="0" w:space="0" w:color="auto"/>
              </w:divBdr>
            </w:div>
            <w:div w:id="882598054">
              <w:marLeft w:val="0"/>
              <w:marRight w:val="0"/>
              <w:marTop w:val="60"/>
              <w:marBottom w:val="0"/>
              <w:divBdr>
                <w:top w:val="none" w:sz="0" w:space="0" w:color="auto"/>
                <w:left w:val="none" w:sz="0" w:space="0" w:color="auto"/>
                <w:bottom w:val="none" w:sz="0" w:space="0" w:color="auto"/>
                <w:right w:val="none" w:sz="0" w:space="0" w:color="auto"/>
              </w:divBdr>
            </w:div>
            <w:div w:id="1661540761">
              <w:marLeft w:val="0"/>
              <w:marRight w:val="0"/>
              <w:marTop w:val="60"/>
              <w:marBottom w:val="0"/>
              <w:divBdr>
                <w:top w:val="none" w:sz="0" w:space="0" w:color="auto"/>
                <w:left w:val="none" w:sz="0" w:space="0" w:color="auto"/>
                <w:bottom w:val="none" w:sz="0" w:space="0" w:color="auto"/>
                <w:right w:val="none" w:sz="0" w:space="0" w:color="auto"/>
              </w:divBdr>
            </w:div>
            <w:div w:id="3999854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12/t20111214_203513.htm?keywords="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2020-02-29T07:12:00Z</dcterms:created>
  <dcterms:modified xsi:type="dcterms:W3CDTF">2020-02-29T07:26:00Z</dcterms:modified>
</cp:coreProperties>
</file>