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DE2" w:rsidRPr="00E83DE2" w:rsidRDefault="00E83DE2" w:rsidP="00E83DE2">
      <w:pPr>
        <w:widowControl/>
        <w:jc w:val="center"/>
        <w:rPr>
          <w:rFonts w:ascii="微软雅黑" w:eastAsia="微软雅黑" w:hAnsi="微软雅黑" w:cs="宋体"/>
          <w:color w:val="000000"/>
          <w:kern w:val="0"/>
          <w:sz w:val="18"/>
          <w:szCs w:val="18"/>
        </w:rPr>
      </w:pPr>
      <w:r w:rsidRPr="00E83DE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83DE2" w:rsidRPr="00E83DE2" w:rsidTr="00E83DE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83DE2" w:rsidRPr="00E83DE2">
              <w:trPr>
                <w:tblCellSpacing w:w="0" w:type="dxa"/>
              </w:trPr>
              <w:tc>
                <w:tcPr>
                  <w:tcW w:w="2500" w:type="pct"/>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hint="eastAsia"/>
                      <w:color w:val="686868"/>
                      <w:kern w:val="0"/>
                      <w:sz w:val="18"/>
                      <w:szCs w:val="18"/>
                    </w:rPr>
                  </w:pPr>
                  <w:r w:rsidRPr="00E83DE2">
                    <w:rPr>
                      <w:rFonts w:ascii="宋体" w:eastAsia="宋体" w:hAnsi="宋体" w:cs="宋体"/>
                      <w:b/>
                      <w:bCs/>
                      <w:color w:val="686868"/>
                      <w:kern w:val="0"/>
                      <w:sz w:val="18"/>
                      <w:szCs w:val="18"/>
                    </w:rPr>
                    <w:t>索 引 号:</w:t>
                  </w:r>
                  <w:r w:rsidRPr="00E83DE2">
                    <w:rPr>
                      <w:rFonts w:ascii="宋体" w:eastAsia="宋体" w:hAnsi="宋体" w:cs="宋体"/>
                      <w:color w:val="686868"/>
                      <w:kern w:val="0"/>
                      <w:sz w:val="18"/>
                      <w:szCs w:val="18"/>
                    </w:rPr>
                    <w:t>40000895X/2011-08315</w:t>
                  </w:r>
                </w:p>
              </w:tc>
              <w:tc>
                <w:tcPr>
                  <w:tcW w:w="0" w:type="auto"/>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分类:</w:t>
                  </w:r>
                  <w:r w:rsidRPr="00E83DE2">
                    <w:rPr>
                      <w:rFonts w:ascii="宋体" w:eastAsia="宋体" w:hAnsi="宋体" w:cs="宋体"/>
                      <w:color w:val="686868"/>
                      <w:kern w:val="0"/>
                      <w:sz w:val="18"/>
                      <w:szCs w:val="18"/>
                    </w:rPr>
                    <w:t> 行政处罚 ; 行政处罚决定</w:t>
                  </w:r>
                </w:p>
              </w:tc>
            </w:tr>
          </w:tbl>
          <w:p w:rsidR="00E83DE2" w:rsidRPr="00E83DE2" w:rsidRDefault="00E83DE2" w:rsidP="00E83DE2">
            <w:pPr>
              <w:widowControl/>
              <w:jc w:val="left"/>
              <w:rPr>
                <w:rFonts w:ascii="宋体" w:eastAsia="宋体" w:hAnsi="宋体" w:cs="宋体"/>
                <w:color w:val="686868"/>
                <w:kern w:val="0"/>
                <w:sz w:val="18"/>
                <w:szCs w:val="18"/>
              </w:rPr>
            </w:pPr>
          </w:p>
        </w:tc>
      </w:tr>
      <w:tr w:rsidR="00E83DE2" w:rsidRPr="00E83DE2" w:rsidTr="00E83DE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83DE2" w:rsidRPr="00E83DE2">
              <w:trPr>
                <w:tblCellSpacing w:w="0" w:type="dxa"/>
              </w:trPr>
              <w:tc>
                <w:tcPr>
                  <w:tcW w:w="2500" w:type="pct"/>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发布机构:</w:t>
                  </w:r>
                  <w:r w:rsidRPr="00E83DE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发文日期:</w:t>
                  </w:r>
                  <w:r w:rsidRPr="00E83DE2">
                    <w:rPr>
                      <w:rFonts w:ascii="宋体" w:eastAsia="宋体" w:hAnsi="宋体" w:cs="宋体"/>
                      <w:color w:val="686868"/>
                      <w:kern w:val="0"/>
                      <w:sz w:val="18"/>
                      <w:szCs w:val="18"/>
                    </w:rPr>
                    <w:t> 2011年11月17日</w:t>
                  </w:r>
                </w:p>
              </w:tc>
            </w:tr>
          </w:tbl>
          <w:p w:rsidR="00E83DE2" w:rsidRPr="00E83DE2" w:rsidRDefault="00E83DE2" w:rsidP="00E83DE2">
            <w:pPr>
              <w:widowControl/>
              <w:jc w:val="left"/>
              <w:rPr>
                <w:rFonts w:ascii="宋体" w:eastAsia="宋体" w:hAnsi="宋体" w:cs="宋体"/>
                <w:color w:val="686868"/>
                <w:kern w:val="0"/>
                <w:sz w:val="18"/>
                <w:szCs w:val="18"/>
              </w:rPr>
            </w:pPr>
          </w:p>
        </w:tc>
      </w:tr>
      <w:tr w:rsidR="00E83DE2" w:rsidRPr="00E83DE2" w:rsidTr="00E83DE2">
        <w:trPr>
          <w:tblCellSpacing w:w="0" w:type="dxa"/>
          <w:jc w:val="center"/>
        </w:trPr>
        <w:tc>
          <w:tcPr>
            <w:tcW w:w="0" w:type="auto"/>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名　　称:</w:t>
            </w:r>
            <w:r w:rsidRPr="00E83DE2">
              <w:rPr>
                <w:rFonts w:ascii="宋体" w:eastAsia="宋体" w:hAnsi="宋体" w:cs="宋体"/>
                <w:color w:val="686868"/>
                <w:kern w:val="0"/>
                <w:sz w:val="18"/>
                <w:szCs w:val="18"/>
              </w:rPr>
              <w:t> 中国证监会行政处罚决定书（方清）</w:t>
            </w:r>
          </w:p>
        </w:tc>
      </w:tr>
      <w:tr w:rsidR="00E83DE2" w:rsidRPr="00E83DE2" w:rsidTr="00E83DE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83DE2" w:rsidRPr="00E83DE2">
              <w:trPr>
                <w:tblCellSpacing w:w="0" w:type="dxa"/>
              </w:trPr>
              <w:tc>
                <w:tcPr>
                  <w:tcW w:w="2500" w:type="pct"/>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文　　号:</w:t>
                  </w:r>
                  <w:r w:rsidRPr="00E83DE2">
                    <w:rPr>
                      <w:rFonts w:ascii="宋体" w:eastAsia="宋体" w:hAnsi="宋体" w:cs="宋体"/>
                      <w:color w:val="686868"/>
                      <w:kern w:val="0"/>
                      <w:sz w:val="18"/>
                      <w:szCs w:val="18"/>
                    </w:rPr>
                    <w:t> </w:t>
                  </w:r>
                  <w:bookmarkStart w:id="0" w:name="_GoBack"/>
                  <w:r w:rsidRPr="00E83DE2">
                    <w:rPr>
                      <w:rFonts w:ascii="宋体" w:eastAsia="宋体" w:hAnsi="宋体" w:cs="宋体"/>
                      <w:color w:val="686868"/>
                      <w:kern w:val="0"/>
                      <w:sz w:val="18"/>
                      <w:szCs w:val="18"/>
                    </w:rPr>
                    <w:t>〔2011〕49号</w:t>
                  </w:r>
                  <w:bookmarkEnd w:id="0"/>
                </w:p>
              </w:tc>
              <w:tc>
                <w:tcPr>
                  <w:tcW w:w="0" w:type="auto"/>
                  <w:tcMar>
                    <w:top w:w="30" w:type="dxa"/>
                    <w:left w:w="30" w:type="dxa"/>
                    <w:bottom w:w="30" w:type="dxa"/>
                    <w:right w:w="30" w:type="dxa"/>
                  </w:tcMar>
                  <w:hideMark/>
                </w:tcPr>
                <w:p w:rsidR="00E83DE2" w:rsidRPr="00E83DE2" w:rsidRDefault="00E83DE2" w:rsidP="00E83DE2">
                  <w:pPr>
                    <w:widowControl/>
                    <w:jc w:val="left"/>
                    <w:rPr>
                      <w:rFonts w:ascii="宋体" w:eastAsia="宋体" w:hAnsi="宋体" w:cs="宋体"/>
                      <w:color w:val="686868"/>
                      <w:kern w:val="0"/>
                      <w:sz w:val="18"/>
                      <w:szCs w:val="18"/>
                    </w:rPr>
                  </w:pPr>
                  <w:r w:rsidRPr="00E83DE2">
                    <w:rPr>
                      <w:rFonts w:ascii="宋体" w:eastAsia="宋体" w:hAnsi="宋体" w:cs="宋体"/>
                      <w:b/>
                      <w:bCs/>
                      <w:color w:val="686868"/>
                      <w:kern w:val="0"/>
                      <w:sz w:val="18"/>
                      <w:szCs w:val="18"/>
                    </w:rPr>
                    <w:t>主 题 词:</w:t>
                  </w:r>
                </w:p>
              </w:tc>
            </w:tr>
          </w:tbl>
          <w:p w:rsidR="00E83DE2" w:rsidRPr="00E83DE2" w:rsidRDefault="00E83DE2" w:rsidP="00E83DE2">
            <w:pPr>
              <w:widowControl/>
              <w:jc w:val="left"/>
              <w:rPr>
                <w:rFonts w:ascii="宋体" w:eastAsia="宋体" w:hAnsi="宋体" w:cs="宋体"/>
                <w:color w:val="686868"/>
                <w:kern w:val="0"/>
                <w:sz w:val="18"/>
                <w:szCs w:val="18"/>
              </w:rPr>
            </w:pPr>
          </w:p>
        </w:tc>
      </w:tr>
    </w:tbl>
    <w:p w:rsidR="00E83DE2" w:rsidRPr="00E83DE2" w:rsidRDefault="00E83DE2" w:rsidP="00E83DE2">
      <w:pPr>
        <w:widowControl/>
        <w:jc w:val="center"/>
        <w:rPr>
          <w:rFonts w:ascii="微软雅黑" w:eastAsia="微软雅黑" w:hAnsi="微软雅黑" w:cs="宋体"/>
          <w:color w:val="000000"/>
          <w:kern w:val="0"/>
          <w:sz w:val="18"/>
          <w:szCs w:val="18"/>
        </w:rPr>
      </w:pPr>
      <w:r w:rsidRPr="00E83DE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83DE2" w:rsidRPr="00E83DE2" w:rsidRDefault="00E83DE2" w:rsidP="00E83DE2">
      <w:pPr>
        <w:widowControl/>
        <w:shd w:val="clear" w:color="auto" w:fill="FFFFFF"/>
        <w:spacing w:after="240"/>
        <w:jc w:val="center"/>
        <w:rPr>
          <w:rFonts w:ascii="微软雅黑" w:eastAsia="微软雅黑" w:hAnsi="微软雅黑" w:cs="宋体" w:hint="eastAsia"/>
          <w:color w:val="000000"/>
          <w:kern w:val="0"/>
          <w:sz w:val="18"/>
          <w:szCs w:val="18"/>
        </w:rPr>
      </w:pPr>
      <w:r w:rsidRPr="00E83DE2">
        <w:rPr>
          <w:rFonts w:ascii="微软雅黑" w:eastAsia="微软雅黑" w:hAnsi="微软雅黑" w:cs="宋体" w:hint="eastAsia"/>
          <w:color w:val="000000"/>
          <w:kern w:val="0"/>
          <w:sz w:val="18"/>
          <w:szCs w:val="18"/>
        </w:rPr>
        <w:br/>
      </w:r>
      <w:r w:rsidRPr="00E83DE2">
        <w:rPr>
          <w:rFonts w:ascii="黑体" w:eastAsia="黑体" w:hAnsi="黑体" w:cs="宋体" w:hint="eastAsia"/>
          <w:b/>
          <w:bCs/>
          <w:color w:val="FF0000"/>
          <w:kern w:val="0"/>
          <w:sz w:val="36"/>
          <w:szCs w:val="36"/>
        </w:rPr>
        <w:t>中国证监会行政处罚决定书（方清）</w:t>
      </w:r>
    </w:p>
    <w:p w:rsidR="00E83DE2" w:rsidRPr="00E83DE2" w:rsidRDefault="00E83DE2" w:rsidP="00E83DE2">
      <w:pPr>
        <w:widowControl/>
        <w:shd w:val="clear" w:color="auto" w:fill="FFFFFF"/>
        <w:ind w:firstLine="420"/>
        <w:jc w:val="center"/>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〔2011〕49号</w:t>
      </w:r>
      <w:r w:rsidRPr="00E83DE2">
        <w:rPr>
          <w:rFonts w:ascii="宋体" w:eastAsia="宋体" w:hAnsi="宋体" w:cs="宋体" w:hint="eastAsia"/>
          <w:color w:val="000000"/>
          <w:kern w:val="0"/>
          <w:szCs w:val="21"/>
        </w:rPr>
        <w:t> </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当事人：方清，男，1965年3月出生，时任合肥国轩高科动力能源有限公司（以下简称</w:t>
      </w:r>
      <w:proofErr w:type="gramStart"/>
      <w:r w:rsidRPr="00E83DE2">
        <w:rPr>
          <w:rFonts w:ascii="楷体" w:eastAsia="楷体" w:hAnsi="楷体" w:cs="宋体" w:hint="eastAsia"/>
          <w:color w:val="000000"/>
          <w:kern w:val="0"/>
          <w:szCs w:val="21"/>
        </w:rPr>
        <w:t>国轩高科</w:t>
      </w:r>
      <w:proofErr w:type="gramEnd"/>
      <w:r w:rsidRPr="00E83DE2">
        <w:rPr>
          <w:rFonts w:ascii="楷体" w:eastAsia="楷体" w:hAnsi="楷体" w:cs="宋体" w:hint="eastAsia"/>
          <w:color w:val="000000"/>
          <w:kern w:val="0"/>
          <w:szCs w:val="21"/>
        </w:rPr>
        <w:t>）总经理，住址：安徽省合肥市</w:t>
      </w:r>
      <w:proofErr w:type="gramStart"/>
      <w:r w:rsidRPr="00E83DE2">
        <w:rPr>
          <w:rFonts w:ascii="楷体" w:eastAsia="楷体" w:hAnsi="楷体" w:cs="宋体" w:hint="eastAsia"/>
          <w:color w:val="000000"/>
          <w:kern w:val="0"/>
          <w:szCs w:val="21"/>
        </w:rPr>
        <w:t>蜀</w:t>
      </w:r>
      <w:proofErr w:type="gramEnd"/>
      <w:r w:rsidRPr="00E83DE2">
        <w:rPr>
          <w:rFonts w:ascii="楷体" w:eastAsia="楷体" w:hAnsi="楷体" w:cs="宋体" w:hint="eastAsia"/>
          <w:color w:val="000000"/>
          <w:kern w:val="0"/>
          <w:szCs w:val="21"/>
        </w:rPr>
        <w:t>山区肥</w:t>
      </w:r>
      <w:proofErr w:type="gramStart"/>
      <w:r w:rsidRPr="00E83DE2">
        <w:rPr>
          <w:rFonts w:ascii="楷体" w:eastAsia="楷体" w:hAnsi="楷体" w:cs="宋体" w:hint="eastAsia"/>
          <w:color w:val="000000"/>
          <w:kern w:val="0"/>
          <w:szCs w:val="21"/>
        </w:rPr>
        <w:t>西路国轩苑</w:t>
      </w:r>
      <w:proofErr w:type="gramEnd"/>
      <w:r w:rsidRPr="00E83DE2">
        <w:rPr>
          <w:rFonts w:ascii="楷体" w:eastAsia="楷体" w:hAnsi="楷体" w:cs="宋体" w:hint="eastAsia"/>
          <w:color w:val="000000"/>
          <w:kern w:val="0"/>
          <w:szCs w:val="21"/>
        </w:rPr>
        <w:t>1幢801室。</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依据《中华人民共和国证券法》（以下简称《证券法》）的有关规定，我会对方清涉嫌内幕交易行为进行了立案调查、审理，并依法向当事人告知了</w:t>
      </w:r>
      <w:proofErr w:type="gramStart"/>
      <w:r w:rsidRPr="00E83DE2">
        <w:rPr>
          <w:rFonts w:ascii="楷体" w:eastAsia="楷体" w:hAnsi="楷体" w:cs="宋体" w:hint="eastAsia"/>
          <w:color w:val="000000"/>
          <w:kern w:val="0"/>
          <w:szCs w:val="21"/>
        </w:rPr>
        <w:t>作出</w:t>
      </w:r>
      <w:proofErr w:type="gramEnd"/>
      <w:r w:rsidRPr="00E83DE2">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经查明，方清内幕交易违法行为具体事实如下：</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一、内幕消息形成、传递及公开过程</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2010年1月4日，佛山电器照明股份有限公司（以下简称佛山照明）董事长钟某某、董事会秘书邹某某等赴</w:t>
      </w:r>
      <w:proofErr w:type="gramStart"/>
      <w:r w:rsidRPr="00E83DE2">
        <w:rPr>
          <w:rFonts w:ascii="楷体" w:eastAsia="楷体" w:hAnsi="楷体" w:cs="宋体" w:hint="eastAsia"/>
          <w:color w:val="000000"/>
          <w:kern w:val="0"/>
          <w:szCs w:val="21"/>
        </w:rPr>
        <w:t>国轩高科</w:t>
      </w:r>
      <w:proofErr w:type="gramEnd"/>
      <w:r w:rsidRPr="00E83DE2">
        <w:rPr>
          <w:rFonts w:ascii="楷体" w:eastAsia="楷体" w:hAnsi="楷体" w:cs="宋体" w:hint="eastAsia"/>
          <w:color w:val="000000"/>
          <w:kern w:val="0"/>
          <w:szCs w:val="21"/>
        </w:rPr>
        <w:t>考察，钟某某向国轩高科董事长李某、时任总经理方清提出由两家公司合作开发电动巴士的意向，李某当时未</w:t>
      </w:r>
      <w:proofErr w:type="gramStart"/>
      <w:r w:rsidRPr="00E83DE2">
        <w:rPr>
          <w:rFonts w:ascii="楷体" w:eastAsia="楷体" w:hAnsi="楷体" w:cs="宋体" w:hint="eastAsia"/>
          <w:color w:val="000000"/>
          <w:kern w:val="0"/>
          <w:szCs w:val="21"/>
        </w:rPr>
        <w:t>作出</w:t>
      </w:r>
      <w:proofErr w:type="gramEnd"/>
      <w:r w:rsidRPr="00E83DE2">
        <w:rPr>
          <w:rFonts w:ascii="楷体" w:eastAsia="楷体" w:hAnsi="楷体" w:cs="宋体" w:hint="eastAsia"/>
          <w:color w:val="000000"/>
          <w:kern w:val="0"/>
          <w:szCs w:val="21"/>
        </w:rPr>
        <w:t>实质性表态。</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2010年春节后不久，李某、方清及外聘国轩高科金融顾问前往佛山，对佛山照明进行考察。经考察，李某决定与佛山照明合作，但没有确定具体合作方式。</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2010年1月25日至3月16日期间，邹某某与方清多次通过电话和电子邮件方式，磋商佛山照明</w:t>
      </w:r>
      <w:proofErr w:type="gramStart"/>
      <w:r w:rsidRPr="00E83DE2">
        <w:rPr>
          <w:rFonts w:ascii="楷体" w:eastAsia="楷体" w:hAnsi="楷体" w:cs="宋体" w:hint="eastAsia"/>
          <w:color w:val="000000"/>
          <w:kern w:val="0"/>
          <w:szCs w:val="21"/>
        </w:rPr>
        <w:t>收购国</w:t>
      </w:r>
      <w:proofErr w:type="gramEnd"/>
      <w:r w:rsidRPr="00E83DE2">
        <w:rPr>
          <w:rFonts w:ascii="楷体" w:eastAsia="楷体" w:hAnsi="楷体" w:cs="宋体" w:hint="eastAsia"/>
          <w:color w:val="000000"/>
          <w:kern w:val="0"/>
          <w:szCs w:val="21"/>
        </w:rPr>
        <w:t>轩高科股份一事。</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2010年3月18日，佛山照明以通讯传真方式召开董事会，审议通过了受让合肥国轩营销策划有限公司（以下简称国轩营销）持有的国轩高科20%股权的意向，但要求</w:t>
      </w:r>
      <w:proofErr w:type="gramStart"/>
      <w:r w:rsidRPr="00E83DE2">
        <w:rPr>
          <w:rFonts w:ascii="楷体" w:eastAsia="楷体" w:hAnsi="楷体" w:cs="宋体" w:hint="eastAsia"/>
          <w:color w:val="000000"/>
          <w:kern w:val="0"/>
          <w:szCs w:val="21"/>
        </w:rPr>
        <w:t>管理层于2010年3月底前</w:t>
      </w:r>
      <w:proofErr w:type="gramEnd"/>
      <w:r w:rsidRPr="00E83DE2">
        <w:rPr>
          <w:rFonts w:ascii="楷体" w:eastAsia="楷体" w:hAnsi="楷体" w:cs="宋体" w:hint="eastAsia"/>
          <w:color w:val="000000"/>
          <w:kern w:val="0"/>
          <w:szCs w:val="21"/>
        </w:rPr>
        <w:t>派出财务顾问对国轩高</w:t>
      </w:r>
      <w:proofErr w:type="gramStart"/>
      <w:r w:rsidRPr="00E83DE2">
        <w:rPr>
          <w:rFonts w:ascii="楷体" w:eastAsia="楷体" w:hAnsi="楷体" w:cs="宋体" w:hint="eastAsia"/>
          <w:color w:val="000000"/>
          <w:kern w:val="0"/>
          <w:szCs w:val="21"/>
        </w:rPr>
        <w:t>科现有</w:t>
      </w:r>
      <w:proofErr w:type="gramEnd"/>
      <w:r w:rsidRPr="00E83DE2">
        <w:rPr>
          <w:rFonts w:ascii="楷体" w:eastAsia="楷体" w:hAnsi="楷体" w:cs="宋体" w:hint="eastAsia"/>
          <w:color w:val="000000"/>
          <w:kern w:val="0"/>
          <w:szCs w:val="21"/>
        </w:rPr>
        <w:t>的资产</w:t>
      </w:r>
      <w:proofErr w:type="gramStart"/>
      <w:r w:rsidRPr="00E83DE2">
        <w:rPr>
          <w:rFonts w:ascii="楷体" w:eastAsia="楷体" w:hAnsi="楷体" w:cs="宋体" w:hint="eastAsia"/>
          <w:color w:val="000000"/>
          <w:kern w:val="0"/>
          <w:szCs w:val="21"/>
        </w:rPr>
        <w:t>作出</w:t>
      </w:r>
      <w:proofErr w:type="gramEnd"/>
      <w:r w:rsidRPr="00E83DE2">
        <w:rPr>
          <w:rFonts w:ascii="楷体" w:eastAsia="楷体" w:hAnsi="楷体" w:cs="宋体" w:hint="eastAsia"/>
          <w:color w:val="000000"/>
          <w:kern w:val="0"/>
          <w:szCs w:val="21"/>
        </w:rPr>
        <w:t>合理的评价，然后提交公司董事会审议批准后，再与转让方签订正式的股权转让合同。</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2010年3月19日，李某、方清与钟某某在佛山照明总部签署了股权转让协议（意向性协议），同意将国轩营销所持有的国轩高科20%股权转让给佛山照明。</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2010年3月20日，佛山照明发布《第五届董事会第二十二次会议决议公告》，公告上述3月18日董事会决议情况。</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2010年6月2日，毕马</w:t>
      </w:r>
      <w:proofErr w:type="gramStart"/>
      <w:r w:rsidRPr="00E83DE2">
        <w:rPr>
          <w:rFonts w:ascii="楷体" w:eastAsia="楷体" w:hAnsi="楷体" w:cs="宋体" w:hint="eastAsia"/>
          <w:color w:val="000000"/>
          <w:kern w:val="0"/>
          <w:szCs w:val="21"/>
        </w:rPr>
        <w:t>威企业</w:t>
      </w:r>
      <w:proofErr w:type="gramEnd"/>
      <w:r w:rsidRPr="00E83DE2">
        <w:rPr>
          <w:rFonts w:ascii="楷体" w:eastAsia="楷体" w:hAnsi="楷体" w:cs="宋体" w:hint="eastAsia"/>
          <w:color w:val="000000"/>
          <w:kern w:val="0"/>
          <w:szCs w:val="21"/>
        </w:rPr>
        <w:t>咨询（中国）有限公司（以下简称毕马威咨询）与佛山照明签订业务约定书，约定由毕马威咨询对国轩高科进行尽职调查。7月6日，毕马威咨询将尽职调查报告终稿交给佛山照明。</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2010年7月12日，国轩高</w:t>
      </w:r>
      <w:proofErr w:type="gramStart"/>
      <w:r w:rsidRPr="00E83DE2">
        <w:rPr>
          <w:rFonts w:ascii="楷体" w:eastAsia="楷体" w:hAnsi="楷体" w:cs="宋体" w:hint="eastAsia"/>
          <w:color w:val="000000"/>
          <w:kern w:val="0"/>
          <w:szCs w:val="21"/>
        </w:rPr>
        <w:t>科形成</w:t>
      </w:r>
      <w:proofErr w:type="gramEnd"/>
      <w:r w:rsidRPr="00E83DE2">
        <w:rPr>
          <w:rFonts w:ascii="楷体" w:eastAsia="楷体" w:hAnsi="楷体" w:cs="宋体" w:hint="eastAsia"/>
          <w:color w:val="000000"/>
          <w:kern w:val="0"/>
          <w:szCs w:val="21"/>
        </w:rPr>
        <w:t>临时股东会议决议，同意股东国轩营销向佛山照明转让其所持国轩高科20%的股份。</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lastRenderedPageBreak/>
        <w:t>2010年7月13日，佛山照明召开第六届董事会第三次会议，审议通过了《关于正式收购合肥国轩营销策划有限公司持有的合肥国轩高科动力能源有限公司20%股权的投资议案》。</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2010年7月14日，李某与钟某某分别代表国轩营销和佛山照明签署了股权转让协议，国轩营销同意将其持有的国轩高科20%的股权转让给佛山照明，转让价格为人民币1.6亿元。</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7月15日，佛山照明发布《第六届董事会第三次会议决议公告》、《关于受让合肥国轩高科股权的进展情况公告》等，披露了上述董事会决议，并披露了进展情况、股权转让方基本情况、投资标的公司的基本情况、协议的主要内容、受让股权的目的和对公司的影响等内容。</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二、方清交易佛山照明股票情况</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2010年4月28日，方清在</w:t>
      </w:r>
      <w:proofErr w:type="gramStart"/>
      <w:r w:rsidRPr="00E83DE2">
        <w:rPr>
          <w:rFonts w:ascii="楷体" w:eastAsia="楷体" w:hAnsi="楷体" w:cs="宋体" w:hint="eastAsia"/>
          <w:color w:val="000000"/>
          <w:kern w:val="0"/>
          <w:szCs w:val="21"/>
        </w:rPr>
        <w:t>国元证券</w:t>
      </w:r>
      <w:proofErr w:type="gramEnd"/>
      <w:r w:rsidRPr="00E83DE2">
        <w:rPr>
          <w:rFonts w:ascii="楷体" w:eastAsia="楷体" w:hAnsi="楷体" w:cs="宋体" w:hint="eastAsia"/>
          <w:color w:val="000000"/>
          <w:kern w:val="0"/>
          <w:szCs w:val="21"/>
        </w:rPr>
        <w:t>合肥宿州路营业部开立账户。2010年7月12日，方清股票账户合计买入佛山照明20,000股，买入成本合计244,700.00元。2010年7月27日，上述账户卖出佛山照明股票10,000股，成交价格13.35元。截至2011年3月8日收市，上述账户仍持有佛山照明股票10,000股，交易佛山照明股票盈利48,800.00元。</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上述事实，有方清的股票账户开户资料、股票交易记录、有关公司的公告、董事会会议决议和记录、股东大会决议、有关当事人的谈话笔录等证据证明，足以认定。</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佛山照明收购国轩高科股权事项属于《证券法》第六十七条第二款规定的重大事件。根据《证券法》第七十五条规定，该“重大事件”属于“涉及公司的经营、财务或者对该公司证券的市场价格有重大影响的尚未公开的信息”，构成内幕信息。方清作为国轩高科时任总经理，参与了佛山照明收购国轩高科股权事项，属于《证券法》第七十四条第（四）项规定的“由于所任公司职务可以获取公司有关内幕信息的人员”。方清利用内幕信息交易佛山照明股票，违反了《证券法》第七十三条的规定，构成《证券法》第二百零二条规定的内幕交易行为。</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根据当事人违法行为的事实、性质、情节与社会危害程度，依据《证券法》第二百零二条的规定，我会决定：责令方</w:t>
      </w:r>
      <w:proofErr w:type="gramStart"/>
      <w:r w:rsidRPr="00E83DE2">
        <w:rPr>
          <w:rFonts w:ascii="楷体" w:eastAsia="楷体" w:hAnsi="楷体" w:cs="宋体" w:hint="eastAsia"/>
          <w:color w:val="000000"/>
          <w:kern w:val="0"/>
          <w:szCs w:val="21"/>
        </w:rPr>
        <w:t>清依法</w:t>
      </w:r>
      <w:proofErr w:type="gramEnd"/>
      <w:r w:rsidRPr="00E83DE2">
        <w:rPr>
          <w:rFonts w:ascii="楷体" w:eastAsia="楷体" w:hAnsi="楷体" w:cs="宋体" w:hint="eastAsia"/>
          <w:color w:val="000000"/>
          <w:kern w:val="0"/>
          <w:szCs w:val="21"/>
        </w:rPr>
        <w:t>处理非法持有的股票，没收违法所得48,800元，并处以罚款48,800元。</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之日起60日内向中国证券监督管理委员会申请行政复议，也可在收到本处罚决定之日起3个月内直接向有管辖权的人民法院提起行政诉讼。复议和诉讼期间，上述决定不停止执行。</w:t>
      </w:r>
    </w:p>
    <w:p w:rsidR="00E83DE2" w:rsidRPr="00E83DE2" w:rsidRDefault="00E83DE2" w:rsidP="00E83DE2">
      <w:pPr>
        <w:widowControl/>
        <w:shd w:val="clear" w:color="auto" w:fill="FFFFFF"/>
        <w:spacing w:before="90" w:after="90"/>
        <w:ind w:firstLine="420"/>
        <w:jc w:val="left"/>
        <w:rPr>
          <w:rFonts w:ascii="宋体" w:eastAsia="宋体" w:hAnsi="宋体" w:cs="宋体" w:hint="eastAsia"/>
          <w:color w:val="000000"/>
          <w:kern w:val="0"/>
          <w:szCs w:val="21"/>
        </w:rPr>
      </w:pPr>
      <w:r w:rsidRPr="00E83DE2">
        <w:rPr>
          <w:rFonts w:ascii="宋体" w:eastAsia="宋体" w:hAnsi="宋体" w:cs="宋体" w:hint="eastAsia"/>
          <w:color w:val="000000"/>
          <w:kern w:val="0"/>
          <w:szCs w:val="21"/>
        </w:rPr>
        <w:t> </w:t>
      </w:r>
    </w:p>
    <w:p w:rsidR="00E83DE2" w:rsidRPr="00E83DE2" w:rsidRDefault="00E83DE2" w:rsidP="00E83DE2">
      <w:pPr>
        <w:widowControl/>
        <w:shd w:val="clear" w:color="auto" w:fill="FFFFFF"/>
        <w:spacing w:before="90" w:after="90"/>
        <w:ind w:firstLine="420"/>
        <w:jc w:val="left"/>
        <w:rPr>
          <w:rFonts w:ascii="宋体" w:eastAsia="宋体" w:hAnsi="宋体" w:cs="宋体" w:hint="eastAsia"/>
          <w:color w:val="000000"/>
          <w:kern w:val="0"/>
          <w:szCs w:val="21"/>
        </w:rPr>
      </w:pPr>
      <w:r w:rsidRPr="00E83DE2">
        <w:rPr>
          <w:rFonts w:ascii="宋体" w:eastAsia="宋体" w:hAnsi="宋体" w:cs="宋体" w:hint="eastAsia"/>
          <w:color w:val="000000"/>
          <w:kern w:val="0"/>
          <w:szCs w:val="21"/>
        </w:rPr>
        <w:t> </w:t>
      </w:r>
    </w:p>
    <w:p w:rsidR="00E83DE2" w:rsidRPr="00E83DE2" w:rsidRDefault="00E83DE2" w:rsidP="00E83DE2">
      <w:pPr>
        <w:widowControl/>
        <w:shd w:val="clear" w:color="auto" w:fill="FFFFFF"/>
        <w:spacing w:before="90" w:after="90"/>
        <w:ind w:firstLine="420"/>
        <w:jc w:val="left"/>
        <w:rPr>
          <w:rFonts w:ascii="宋体" w:eastAsia="宋体" w:hAnsi="宋体" w:cs="宋体" w:hint="eastAsia"/>
          <w:color w:val="000000"/>
          <w:kern w:val="0"/>
          <w:szCs w:val="21"/>
        </w:rPr>
      </w:pPr>
      <w:r w:rsidRPr="00E83DE2">
        <w:rPr>
          <w:rFonts w:ascii="宋体" w:eastAsia="宋体" w:hAnsi="宋体" w:cs="宋体" w:hint="eastAsia"/>
          <w:color w:val="000000"/>
          <w:kern w:val="0"/>
          <w:szCs w:val="21"/>
        </w:rPr>
        <w:t> </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 xml:space="preserve">　　　　　　　　　　　　　　　　　　　　　　　　　　　　　　　　　　　　　　　　　　中国证券监督管理委员会</w:t>
      </w:r>
    </w:p>
    <w:p w:rsidR="00E83DE2" w:rsidRPr="00E83DE2" w:rsidRDefault="00E83DE2" w:rsidP="00E83DE2">
      <w:pPr>
        <w:widowControl/>
        <w:shd w:val="clear" w:color="auto" w:fill="FFFFFF"/>
        <w:ind w:firstLine="420"/>
        <w:jc w:val="left"/>
        <w:rPr>
          <w:rFonts w:ascii="宋体" w:eastAsia="宋体" w:hAnsi="宋体" w:cs="宋体" w:hint="eastAsia"/>
          <w:color w:val="000000"/>
          <w:kern w:val="0"/>
          <w:szCs w:val="21"/>
        </w:rPr>
      </w:pPr>
      <w:r w:rsidRPr="00E83DE2">
        <w:rPr>
          <w:rFonts w:ascii="楷体" w:eastAsia="楷体" w:hAnsi="楷体" w:cs="宋体" w:hint="eastAsia"/>
          <w:color w:val="000000"/>
          <w:kern w:val="0"/>
          <w:szCs w:val="21"/>
        </w:rPr>
        <w:t xml:space="preserve">　　　　　　　　　　　　　　　　　　　　　　　　　　　　　　　　　　　　　　　　 　 二○一一年十一月十七日　　</w:t>
      </w:r>
      <w:r w:rsidRPr="00E83DE2">
        <w:rPr>
          <w:rFonts w:ascii="Calibri" w:eastAsia="楷体" w:hAnsi="Calibri" w:cs="Calibri"/>
          <w:color w:val="000000"/>
          <w:kern w:val="0"/>
          <w:szCs w:val="21"/>
        </w:rPr>
        <w:t> </w:t>
      </w:r>
    </w:p>
    <w:p w:rsidR="00E83DE2" w:rsidRPr="00E83DE2" w:rsidRDefault="00E83DE2" w:rsidP="00E83DE2">
      <w:pPr>
        <w:widowControl/>
        <w:shd w:val="clear" w:color="auto" w:fill="FFFFFF"/>
        <w:spacing w:before="90"/>
        <w:ind w:firstLine="420"/>
        <w:jc w:val="left"/>
        <w:rPr>
          <w:rFonts w:ascii="宋体" w:eastAsia="宋体" w:hAnsi="宋体" w:cs="宋体" w:hint="eastAsia"/>
          <w:color w:val="000000"/>
          <w:kern w:val="0"/>
          <w:szCs w:val="21"/>
        </w:rPr>
      </w:pPr>
      <w:r w:rsidRPr="00E83DE2">
        <w:rPr>
          <w:rFonts w:ascii="宋体" w:eastAsia="宋体" w:hAnsi="宋体" w:cs="宋体" w:hint="eastAsia"/>
          <w:color w:val="000000"/>
          <w:kern w:val="0"/>
          <w:szCs w:val="21"/>
        </w:rPr>
        <w:t> </w:t>
      </w:r>
    </w:p>
    <w:p w:rsidR="00E83DE2" w:rsidRPr="00E83DE2" w:rsidRDefault="00E83DE2" w:rsidP="00E83DE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83DE2" w:rsidRPr="00E83DE2" w:rsidTr="00E83DE2">
        <w:trPr>
          <w:tblCellSpacing w:w="15" w:type="dxa"/>
          <w:jc w:val="center"/>
        </w:trPr>
        <w:tc>
          <w:tcPr>
            <w:tcW w:w="900" w:type="dxa"/>
            <w:vAlign w:val="center"/>
            <w:hideMark/>
          </w:tcPr>
          <w:p w:rsidR="00E83DE2" w:rsidRPr="00E83DE2" w:rsidRDefault="00E83DE2" w:rsidP="00E83DE2">
            <w:pPr>
              <w:widowControl/>
              <w:jc w:val="left"/>
              <w:rPr>
                <w:rFonts w:ascii="宋体" w:eastAsia="宋体" w:hAnsi="宋体" w:cs="宋体" w:hint="eastAsia"/>
                <w:kern w:val="0"/>
                <w:sz w:val="18"/>
                <w:szCs w:val="18"/>
              </w:rPr>
            </w:pPr>
            <w:r w:rsidRPr="00E83DE2">
              <w:rPr>
                <w:rFonts w:ascii="宋体" w:eastAsia="宋体" w:hAnsi="宋体" w:cs="宋体"/>
                <w:kern w:val="0"/>
                <w:sz w:val="18"/>
                <w:szCs w:val="18"/>
              </w:rPr>
              <w:t> </w:t>
            </w:r>
          </w:p>
        </w:tc>
        <w:tc>
          <w:tcPr>
            <w:tcW w:w="1200" w:type="dxa"/>
            <w:vAlign w:val="center"/>
            <w:hideMark/>
          </w:tcPr>
          <w:p w:rsidR="00E83DE2" w:rsidRPr="00E83DE2" w:rsidRDefault="00E83DE2" w:rsidP="00E83DE2">
            <w:pPr>
              <w:widowControl/>
              <w:jc w:val="left"/>
              <w:rPr>
                <w:rFonts w:ascii="宋体" w:eastAsia="宋体" w:hAnsi="宋体" w:cs="宋体"/>
                <w:kern w:val="0"/>
                <w:sz w:val="18"/>
                <w:szCs w:val="18"/>
              </w:rPr>
            </w:pPr>
            <w:r w:rsidRPr="00E83DE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83DE2" w:rsidRPr="00E83DE2" w:rsidRDefault="00E83DE2" w:rsidP="00E83DE2">
            <w:pPr>
              <w:widowControl/>
              <w:jc w:val="left"/>
              <w:rPr>
                <w:rFonts w:ascii="宋体" w:eastAsia="宋体" w:hAnsi="宋体" w:cs="宋体"/>
                <w:kern w:val="0"/>
                <w:sz w:val="18"/>
                <w:szCs w:val="18"/>
              </w:rPr>
            </w:pPr>
            <w:r w:rsidRPr="00E83DE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83DE2" w:rsidRPr="00E83DE2" w:rsidRDefault="00E83DE2" w:rsidP="00E83DE2">
            <w:pPr>
              <w:widowControl/>
              <w:jc w:val="left"/>
              <w:rPr>
                <w:rFonts w:ascii="宋体" w:eastAsia="宋体" w:hAnsi="宋体" w:cs="宋体"/>
                <w:kern w:val="0"/>
                <w:sz w:val="18"/>
                <w:szCs w:val="18"/>
              </w:rPr>
            </w:pPr>
            <w:r w:rsidRPr="00E83DE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83DE2" w:rsidRPr="00E83DE2" w:rsidRDefault="00E83DE2" w:rsidP="00E83DE2">
      <w:pPr>
        <w:widowControl/>
        <w:jc w:val="center"/>
        <w:rPr>
          <w:rFonts w:ascii="微软雅黑" w:eastAsia="微软雅黑" w:hAnsi="微软雅黑" w:cs="宋体"/>
          <w:color w:val="515151"/>
          <w:kern w:val="0"/>
          <w:sz w:val="18"/>
          <w:szCs w:val="18"/>
        </w:rPr>
      </w:pPr>
      <w:hyperlink r:id="rId11" w:tgtFrame="_blank" w:history="1">
        <w:r w:rsidRPr="00E83DE2">
          <w:rPr>
            <w:rFonts w:ascii="微软雅黑" w:eastAsia="微软雅黑" w:hAnsi="微软雅黑" w:cs="宋体" w:hint="eastAsia"/>
            <w:color w:val="0000FF"/>
            <w:kern w:val="0"/>
            <w:sz w:val="18"/>
            <w:szCs w:val="18"/>
            <w:u w:val="single"/>
          </w:rPr>
          <w:t>关于我们</w:t>
        </w:r>
      </w:hyperlink>
      <w:r w:rsidRPr="00E83DE2">
        <w:rPr>
          <w:rFonts w:ascii="微软雅黑" w:eastAsia="微软雅黑" w:hAnsi="微软雅黑" w:cs="宋体" w:hint="eastAsia"/>
          <w:color w:val="515151"/>
          <w:kern w:val="0"/>
          <w:sz w:val="18"/>
          <w:szCs w:val="18"/>
        </w:rPr>
        <w:t> - </w:t>
      </w:r>
      <w:hyperlink r:id="rId12" w:tgtFrame="_blank" w:history="1">
        <w:r w:rsidRPr="00E83DE2">
          <w:rPr>
            <w:rFonts w:ascii="微软雅黑" w:eastAsia="微软雅黑" w:hAnsi="微软雅黑" w:cs="宋体" w:hint="eastAsia"/>
            <w:color w:val="0000FF"/>
            <w:kern w:val="0"/>
            <w:sz w:val="18"/>
            <w:szCs w:val="18"/>
            <w:u w:val="single"/>
          </w:rPr>
          <w:t>法律声明</w:t>
        </w:r>
      </w:hyperlink>
      <w:r w:rsidRPr="00E83DE2">
        <w:rPr>
          <w:rFonts w:ascii="微软雅黑" w:eastAsia="微软雅黑" w:hAnsi="微软雅黑" w:cs="宋体" w:hint="eastAsia"/>
          <w:color w:val="515151"/>
          <w:kern w:val="0"/>
          <w:sz w:val="18"/>
          <w:szCs w:val="18"/>
        </w:rPr>
        <w:t> - </w:t>
      </w:r>
      <w:hyperlink r:id="rId13" w:tgtFrame="_blank" w:history="1">
        <w:r w:rsidRPr="00E83DE2">
          <w:rPr>
            <w:rFonts w:ascii="微软雅黑" w:eastAsia="微软雅黑" w:hAnsi="微软雅黑" w:cs="宋体" w:hint="eastAsia"/>
            <w:color w:val="0000FF"/>
            <w:kern w:val="0"/>
            <w:sz w:val="18"/>
            <w:szCs w:val="18"/>
            <w:u w:val="single"/>
          </w:rPr>
          <w:t>联系我们</w:t>
        </w:r>
      </w:hyperlink>
    </w:p>
    <w:p w:rsidR="00E83DE2" w:rsidRPr="00E83DE2" w:rsidRDefault="00E83DE2" w:rsidP="00E83DE2">
      <w:pPr>
        <w:widowControl/>
        <w:jc w:val="center"/>
        <w:rPr>
          <w:rFonts w:ascii="微软雅黑" w:eastAsia="微软雅黑" w:hAnsi="微软雅黑" w:cs="宋体" w:hint="eastAsia"/>
          <w:color w:val="515151"/>
          <w:kern w:val="0"/>
          <w:sz w:val="18"/>
          <w:szCs w:val="18"/>
        </w:rPr>
      </w:pPr>
      <w:r w:rsidRPr="00E83DE2">
        <w:rPr>
          <w:rFonts w:ascii="微软雅黑" w:eastAsia="微软雅黑" w:hAnsi="微软雅黑" w:cs="宋体" w:hint="eastAsia"/>
          <w:color w:val="515151"/>
          <w:kern w:val="0"/>
          <w:sz w:val="18"/>
          <w:szCs w:val="18"/>
        </w:rPr>
        <w:t>版权所有：中国证券监督管理委员会 京ICP备 05035542号</w:t>
      </w:r>
    </w:p>
    <w:p w:rsidR="00E83DE2" w:rsidRPr="00E83DE2" w:rsidRDefault="00E83DE2" w:rsidP="00E83DE2">
      <w:pPr>
        <w:widowControl/>
        <w:jc w:val="center"/>
        <w:rPr>
          <w:rFonts w:ascii="微软雅黑" w:eastAsia="微软雅黑" w:hAnsi="微软雅黑" w:cs="宋体" w:hint="eastAsia"/>
          <w:color w:val="515151"/>
          <w:kern w:val="0"/>
          <w:sz w:val="18"/>
          <w:szCs w:val="18"/>
        </w:rPr>
      </w:pPr>
      <w:r w:rsidRPr="00E83DE2">
        <w:rPr>
          <w:rFonts w:ascii="微软雅黑" w:eastAsia="微软雅黑" w:hAnsi="微软雅黑" w:cs="宋体" w:hint="eastAsia"/>
          <w:color w:val="515151"/>
          <w:kern w:val="0"/>
          <w:sz w:val="18"/>
          <w:szCs w:val="18"/>
        </w:rPr>
        <w:t>地址：北京市西城区金融大街19号富凯大厦A座 邮编：100033</w:t>
      </w:r>
    </w:p>
    <w:p w:rsidR="00E83DE2" w:rsidRPr="00E83DE2" w:rsidRDefault="00E83DE2" w:rsidP="00E83DE2">
      <w:pPr>
        <w:widowControl/>
        <w:jc w:val="center"/>
        <w:rPr>
          <w:rFonts w:ascii="微软雅黑" w:eastAsia="微软雅黑" w:hAnsi="微软雅黑" w:cs="宋体" w:hint="eastAsia"/>
          <w:color w:val="515151"/>
          <w:kern w:val="0"/>
          <w:sz w:val="18"/>
          <w:szCs w:val="18"/>
        </w:rPr>
      </w:pPr>
      <w:r w:rsidRPr="00E83DE2">
        <w:rPr>
          <w:rFonts w:ascii="微软雅黑" w:eastAsia="微软雅黑" w:hAnsi="微软雅黑" w:cs="宋体" w:hint="eastAsia"/>
          <w:color w:val="515151"/>
          <w:kern w:val="0"/>
          <w:sz w:val="18"/>
          <w:szCs w:val="18"/>
        </w:rPr>
        <w:t>建议使用IE5.5以上浏览器，分辨率1024*768</w:t>
      </w:r>
    </w:p>
    <w:p w:rsidR="005E7404" w:rsidRPr="00E83DE2" w:rsidRDefault="005E7404"/>
    <w:sectPr w:rsidR="005E7404" w:rsidRPr="00E83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E2"/>
    <w:rsid w:val="005E7404"/>
    <w:rsid w:val="00E8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E204-DF95-4717-80E2-1BBAF0FF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3D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3DE2"/>
    <w:rPr>
      <w:b/>
      <w:bCs/>
    </w:rPr>
  </w:style>
  <w:style w:type="character" w:styleId="a5">
    <w:name w:val="Hyperlink"/>
    <w:basedOn w:val="a0"/>
    <w:uiPriority w:val="99"/>
    <w:semiHidden/>
    <w:unhideWhenUsed/>
    <w:rsid w:val="00E83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6427">
      <w:bodyDiv w:val="1"/>
      <w:marLeft w:val="0"/>
      <w:marRight w:val="0"/>
      <w:marTop w:val="0"/>
      <w:marBottom w:val="0"/>
      <w:divBdr>
        <w:top w:val="none" w:sz="0" w:space="0" w:color="auto"/>
        <w:left w:val="none" w:sz="0" w:space="0" w:color="auto"/>
        <w:bottom w:val="none" w:sz="0" w:space="0" w:color="auto"/>
        <w:right w:val="none" w:sz="0" w:space="0" w:color="auto"/>
      </w:divBdr>
      <w:divsChild>
        <w:div w:id="1989704219">
          <w:marLeft w:val="0"/>
          <w:marRight w:val="0"/>
          <w:marTop w:val="150"/>
          <w:marBottom w:val="150"/>
          <w:divBdr>
            <w:top w:val="none" w:sz="0" w:space="0" w:color="auto"/>
            <w:left w:val="none" w:sz="0" w:space="0" w:color="auto"/>
            <w:bottom w:val="none" w:sz="0" w:space="0" w:color="auto"/>
            <w:right w:val="none" w:sz="0" w:space="0" w:color="auto"/>
          </w:divBdr>
        </w:div>
        <w:div w:id="1771850009">
          <w:marLeft w:val="0"/>
          <w:marRight w:val="0"/>
          <w:marTop w:val="0"/>
          <w:marBottom w:val="0"/>
          <w:divBdr>
            <w:top w:val="single" w:sz="6" w:space="8" w:color="B5B5B5"/>
            <w:left w:val="single" w:sz="6" w:space="0" w:color="B5B5B5"/>
            <w:bottom w:val="single" w:sz="6" w:space="8" w:color="B5B5B5"/>
            <w:right w:val="single" w:sz="6" w:space="0" w:color="B5B5B5"/>
          </w:divBdr>
          <w:divsChild>
            <w:div w:id="251280450">
              <w:marLeft w:val="0"/>
              <w:marRight w:val="0"/>
              <w:marTop w:val="0"/>
              <w:marBottom w:val="0"/>
              <w:divBdr>
                <w:top w:val="none" w:sz="0" w:space="0" w:color="auto"/>
                <w:left w:val="none" w:sz="0" w:space="0" w:color="auto"/>
                <w:bottom w:val="none" w:sz="0" w:space="0" w:color="auto"/>
                <w:right w:val="none" w:sz="0" w:space="0" w:color="auto"/>
              </w:divBdr>
            </w:div>
            <w:div w:id="1668051738">
              <w:marLeft w:val="0"/>
              <w:marRight w:val="0"/>
              <w:marTop w:val="0"/>
              <w:marBottom w:val="0"/>
              <w:divBdr>
                <w:top w:val="none" w:sz="0" w:space="0" w:color="auto"/>
                <w:left w:val="none" w:sz="0" w:space="0" w:color="auto"/>
                <w:bottom w:val="none" w:sz="0" w:space="0" w:color="auto"/>
                <w:right w:val="none" w:sz="0" w:space="0" w:color="auto"/>
              </w:divBdr>
              <w:divsChild>
                <w:div w:id="561722074">
                  <w:marLeft w:val="0"/>
                  <w:marRight w:val="0"/>
                  <w:marTop w:val="90"/>
                  <w:marBottom w:val="90"/>
                  <w:divBdr>
                    <w:top w:val="none" w:sz="0" w:space="0" w:color="auto"/>
                    <w:left w:val="none" w:sz="0" w:space="0" w:color="auto"/>
                    <w:bottom w:val="none" w:sz="0" w:space="0" w:color="auto"/>
                    <w:right w:val="none" w:sz="0" w:space="0" w:color="auto"/>
                  </w:divBdr>
                  <w:divsChild>
                    <w:div w:id="100802538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9103793">
              <w:marLeft w:val="0"/>
              <w:marRight w:val="0"/>
              <w:marTop w:val="120"/>
              <w:marBottom w:val="120"/>
              <w:divBdr>
                <w:top w:val="none" w:sz="0" w:space="0" w:color="auto"/>
                <w:left w:val="none" w:sz="0" w:space="0" w:color="auto"/>
                <w:bottom w:val="none" w:sz="0" w:space="0" w:color="auto"/>
                <w:right w:val="none" w:sz="0" w:space="0" w:color="auto"/>
              </w:divBdr>
            </w:div>
          </w:divsChild>
        </w:div>
        <w:div w:id="2025016342">
          <w:marLeft w:val="0"/>
          <w:marRight w:val="0"/>
          <w:marTop w:val="120"/>
          <w:marBottom w:val="0"/>
          <w:divBdr>
            <w:top w:val="none" w:sz="0" w:space="0" w:color="auto"/>
            <w:left w:val="none" w:sz="0" w:space="0" w:color="auto"/>
            <w:bottom w:val="none" w:sz="0" w:space="0" w:color="auto"/>
            <w:right w:val="none" w:sz="0" w:space="0" w:color="auto"/>
          </w:divBdr>
          <w:divsChild>
            <w:div w:id="1373454613">
              <w:marLeft w:val="0"/>
              <w:marRight w:val="0"/>
              <w:marTop w:val="60"/>
              <w:marBottom w:val="0"/>
              <w:divBdr>
                <w:top w:val="none" w:sz="0" w:space="0" w:color="auto"/>
                <w:left w:val="none" w:sz="0" w:space="0" w:color="auto"/>
                <w:bottom w:val="none" w:sz="0" w:space="0" w:color="auto"/>
                <w:right w:val="none" w:sz="0" w:space="0" w:color="auto"/>
              </w:divBdr>
            </w:div>
            <w:div w:id="1646012022">
              <w:marLeft w:val="0"/>
              <w:marRight w:val="0"/>
              <w:marTop w:val="60"/>
              <w:marBottom w:val="0"/>
              <w:divBdr>
                <w:top w:val="none" w:sz="0" w:space="0" w:color="auto"/>
                <w:left w:val="none" w:sz="0" w:space="0" w:color="auto"/>
                <w:bottom w:val="none" w:sz="0" w:space="0" w:color="auto"/>
                <w:right w:val="none" w:sz="0" w:space="0" w:color="auto"/>
              </w:divBdr>
            </w:div>
            <w:div w:id="233322246">
              <w:marLeft w:val="0"/>
              <w:marRight w:val="0"/>
              <w:marTop w:val="60"/>
              <w:marBottom w:val="0"/>
              <w:divBdr>
                <w:top w:val="none" w:sz="0" w:space="0" w:color="auto"/>
                <w:left w:val="none" w:sz="0" w:space="0" w:color="auto"/>
                <w:bottom w:val="none" w:sz="0" w:space="0" w:color="auto"/>
                <w:right w:val="none" w:sz="0" w:space="0" w:color="auto"/>
              </w:divBdr>
            </w:div>
            <w:div w:id="20571932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12/t20111231_20436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2020-02-19T14:38:00Z</dcterms:created>
  <dcterms:modified xsi:type="dcterms:W3CDTF">2020-02-19T14:38:00Z</dcterms:modified>
</cp:coreProperties>
</file>