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F9A" w:rsidRPr="004F2F9A" w:rsidRDefault="004F2F9A" w:rsidP="004F2F9A">
      <w:pPr>
        <w:widowControl/>
        <w:jc w:val="center"/>
        <w:rPr>
          <w:rFonts w:ascii="微软雅黑" w:eastAsia="微软雅黑" w:hAnsi="微软雅黑" w:cs="宋体"/>
          <w:color w:val="000000"/>
          <w:kern w:val="0"/>
          <w:sz w:val="18"/>
          <w:szCs w:val="18"/>
        </w:rPr>
      </w:pPr>
      <w:r w:rsidRPr="004F2F9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F2F9A" w:rsidRPr="004F2F9A" w:rsidTr="004F2F9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2F9A" w:rsidRPr="004F2F9A">
              <w:trPr>
                <w:tblCellSpacing w:w="0" w:type="dxa"/>
              </w:trPr>
              <w:tc>
                <w:tcPr>
                  <w:tcW w:w="2500" w:type="pct"/>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hint="eastAsia"/>
                      <w:color w:val="686868"/>
                      <w:kern w:val="0"/>
                      <w:sz w:val="18"/>
                      <w:szCs w:val="18"/>
                    </w:rPr>
                  </w:pPr>
                  <w:r w:rsidRPr="004F2F9A">
                    <w:rPr>
                      <w:rFonts w:ascii="宋体" w:eastAsia="宋体" w:hAnsi="宋体" w:cs="宋体"/>
                      <w:b/>
                      <w:bCs/>
                      <w:color w:val="686868"/>
                      <w:kern w:val="0"/>
                      <w:sz w:val="18"/>
                      <w:szCs w:val="18"/>
                    </w:rPr>
                    <w:t>索 引 号:</w:t>
                  </w:r>
                  <w:r w:rsidRPr="004F2F9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分类:</w:t>
                  </w:r>
                  <w:r w:rsidRPr="004F2F9A">
                    <w:rPr>
                      <w:rFonts w:ascii="宋体" w:eastAsia="宋体" w:hAnsi="宋体" w:cs="宋体"/>
                      <w:color w:val="686868"/>
                      <w:kern w:val="0"/>
                      <w:sz w:val="18"/>
                      <w:szCs w:val="18"/>
                    </w:rPr>
                    <w:t> 行政处罚 ; 行政处罚决定</w:t>
                  </w:r>
                </w:p>
              </w:tc>
            </w:tr>
          </w:tbl>
          <w:p w:rsidR="004F2F9A" w:rsidRPr="004F2F9A" w:rsidRDefault="004F2F9A" w:rsidP="004F2F9A">
            <w:pPr>
              <w:widowControl/>
              <w:jc w:val="left"/>
              <w:rPr>
                <w:rFonts w:ascii="宋体" w:eastAsia="宋体" w:hAnsi="宋体" w:cs="宋体"/>
                <w:color w:val="686868"/>
                <w:kern w:val="0"/>
                <w:sz w:val="18"/>
                <w:szCs w:val="18"/>
              </w:rPr>
            </w:pPr>
          </w:p>
        </w:tc>
      </w:tr>
      <w:tr w:rsidR="004F2F9A" w:rsidRPr="004F2F9A" w:rsidTr="004F2F9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2F9A" w:rsidRPr="004F2F9A">
              <w:trPr>
                <w:tblCellSpacing w:w="0" w:type="dxa"/>
              </w:trPr>
              <w:tc>
                <w:tcPr>
                  <w:tcW w:w="2500" w:type="pct"/>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发布机构:</w:t>
                  </w:r>
                  <w:r w:rsidRPr="004F2F9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发文日期:</w:t>
                  </w:r>
                  <w:r w:rsidRPr="004F2F9A">
                    <w:rPr>
                      <w:rFonts w:ascii="宋体" w:eastAsia="宋体" w:hAnsi="宋体" w:cs="宋体"/>
                      <w:color w:val="686868"/>
                      <w:kern w:val="0"/>
                      <w:sz w:val="18"/>
                      <w:szCs w:val="18"/>
                    </w:rPr>
                    <w:t> 2013年08月26日</w:t>
                  </w:r>
                </w:p>
              </w:tc>
            </w:tr>
          </w:tbl>
          <w:p w:rsidR="004F2F9A" w:rsidRPr="004F2F9A" w:rsidRDefault="004F2F9A" w:rsidP="004F2F9A">
            <w:pPr>
              <w:widowControl/>
              <w:jc w:val="left"/>
              <w:rPr>
                <w:rFonts w:ascii="宋体" w:eastAsia="宋体" w:hAnsi="宋体" w:cs="宋体"/>
                <w:color w:val="686868"/>
                <w:kern w:val="0"/>
                <w:sz w:val="18"/>
                <w:szCs w:val="18"/>
              </w:rPr>
            </w:pPr>
          </w:p>
        </w:tc>
      </w:tr>
      <w:tr w:rsidR="004F2F9A" w:rsidRPr="004F2F9A" w:rsidTr="004F2F9A">
        <w:trPr>
          <w:tblCellSpacing w:w="0" w:type="dxa"/>
          <w:jc w:val="center"/>
        </w:trPr>
        <w:tc>
          <w:tcPr>
            <w:tcW w:w="0" w:type="auto"/>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名　　称:</w:t>
            </w:r>
            <w:r w:rsidRPr="004F2F9A">
              <w:rPr>
                <w:rFonts w:ascii="宋体" w:eastAsia="宋体" w:hAnsi="宋体" w:cs="宋体"/>
                <w:color w:val="686868"/>
                <w:kern w:val="0"/>
                <w:sz w:val="18"/>
                <w:szCs w:val="18"/>
              </w:rPr>
              <w:t> 中国证监会行政处罚决定书(江建华、熊碧波)</w:t>
            </w:r>
          </w:p>
        </w:tc>
      </w:tr>
      <w:tr w:rsidR="004F2F9A" w:rsidRPr="004F2F9A" w:rsidTr="004F2F9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2F9A" w:rsidRPr="004F2F9A">
              <w:trPr>
                <w:tblCellSpacing w:w="0" w:type="dxa"/>
              </w:trPr>
              <w:tc>
                <w:tcPr>
                  <w:tcW w:w="2500" w:type="pct"/>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文　　号:</w:t>
                  </w:r>
                  <w:r w:rsidRPr="004F2F9A">
                    <w:rPr>
                      <w:rFonts w:ascii="宋体" w:eastAsia="宋体" w:hAnsi="宋体" w:cs="宋体"/>
                      <w:color w:val="686868"/>
                      <w:kern w:val="0"/>
                      <w:sz w:val="18"/>
                      <w:szCs w:val="18"/>
                    </w:rPr>
                    <w:t> </w:t>
                  </w:r>
                  <w:bookmarkStart w:id="0" w:name="_GoBack"/>
                  <w:r w:rsidRPr="004F2F9A">
                    <w:rPr>
                      <w:rFonts w:ascii="宋体" w:eastAsia="宋体" w:hAnsi="宋体" w:cs="宋体"/>
                      <w:color w:val="686868"/>
                      <w:kern w:val="0"/>
                      <w:sz w:val="18"/>
                      <w:szCs w:val="18"/>
                    </w:rPr>
                    <w:t>〔2013〕39号</w:t>
                  </w:r>
                  <w:bookmarkEnd w:id="0"/>
                </w:p>
              </w:tc>
              <w:tc>
                <w:tcPr>
                  <w:tcW w:w="0" w:type="auto"/>
                  <w:tcMar>
                    <w:top w:w="30" w:type="dxa"/>
                    <w:left w:w="30" w:type="dxa"/>
                    <w:bottom w:w="30" w:type="dxa"/>
                    <w:right w:w="30" w:type="dxa"/>
                  </w:tcMar>
                  <w:hideMark/>
                </w:tcPr>
                <w:p w:rsidR="004F2F9A" w:rsidRPr="004F2F9A" w:rsidRDefault="004F2F9A" w:rsidP="004F2F9A">
                  <w:pPr>
                    <w:widowControl/>
                    <w:jc w:val="left"/>
                    <w:rPr>
                      <w:rFonts w:ascii="宋体" w:eastAsia="宋体" w:hAnsi="宋体" w:cs="宋体"/>
                      <w:color w:val="686868"/>
                      <w:kern w:val="0"/>
                      <w:sz w:val="18"/>
                      <w:szCs w:val="18"/>
                    </w:rPr>
                  </w:pPr>
                  <w:r w:rsidRPr="004F2F9A">
                    <w:rPr>
                      <w:rFonts w:ascii="宋体" w:eastAsia="宋体" w:hAnsi="宋体" w:cs="宋体"/>
                      <w:b/>
                      <w:bCs/>
                      <w:color w:val="686868"/>
                      <w:kern w:val="0"/>
                      <w:sz w:val="18"/>
                      <w:szCs w:val="18"/>
                    </w:rPr>
                    <w:t>主 题 词:</w:t>
                  </w:r>
                </w:p>
              </w:tc>
            </w:tr>
          </w:tbl>
          <w:p w:rsidR="004F2F9A" w:rsidRPr="004F2F9A" w:rsidRDefault="004F2F9A" w:rsidP="004F2F9A">
            <w:pPr>
              <w:widowControl/>
              <w:jc w:val="left"/>
              <w:rPr>
                <w:rFonts w:ascii="宋体" w:eastAsia="宋体" w:hAnsi="宋体" w:cs="宋体"/>
                <w:color w:val="686868"/>
                <w:kern w:val="0"/>
                <w:sz w:val="18"/>
                <w:szCs w:val="18"/>
              </w:rPr>
            </w:pPr>
          </w:p>
        </w:tc>
      </w:tr>
    </w:tbl>
    <w:p w:rsidR="004F2F9A" w:rsidRPr="004F2F9A" w:rsidRDefault="004F2F9A" w:rsidP="004F2F9A">
      <w:pPr>
        <w:widowControl/>
        <w:jc w:val="center"/>
        <w:rPr>
          <w:rFonts w:ascii="微软雅黑" w:eastAsia="微软雅黑" w:hAnsi="微软雅黑" w:cs="宋体"/>
          <w:color w:val="000000"/>
          <w:kern w:val="0"/>
          <w:sz w:val="18"/>
          <w:szCs w:val="18"/>
        </w:rPr>
      </w:pPr>
      <w:r w:rsidRPr="004F2F9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F2F9A" w:rsidRPr="004F2F9A" w:rsidRDefault="004F2F9A" w:rsidP="004F2F9A">
      <w:pPr>
        <w:widowControl/>
        <w:shd w:val="clear" w:color="auto" w:fill="FFFFFF"/>
        <w:spacing w:after="240"/>
        <w:jc w:val="center"/>
        <w:rPr>
          <w:rFonts w:ascii="微软雅黑" w:eastAsia="微软雅黑" w:hAnsi="微软雅黑" w:cs="宋体" w:hint="eastAsia"/>
          <w:color w:val="000000"/>
          <w:kern w:val="0"/>
          <w:sz w:val="18"/>
          <w:szCs w:val="18"/>
        </w:rPr>
      </w:pPr>
      <w:r w:rsidRPr="004F2F9A">
        <w:rPr>
          <w:rFonts w:ascii="微软雅黑" w:eastAsia="微软雅黑" w:hAnsi="微软雅黑" w:cs="宋体" w:hint="eastAsia"/>
          <w:color w:val="000000"/>
          <w:kern w:val="0"/>
          <w:sz w:val="18"/>
          <w:szCs w:val="18"/>
        </w:rPr>
        <w:br/>
      </w:r>
      <w:r w:rsidRPr="004F2F9A">
        <w:rPr>
          <w:rFonts w:ascii="黑体" w:eastAsia="黑体" w:hAnsi="黑体" w:cs="宋体" w:hint="eastAsia"/>
          <w:b/>
          <w:bCs/>
          <w:color w:val="FF0000"/>
          <w:kern w:val="0"/>
          <w:sz w:val="36"/>
          <w:szCs w:val="36"/>
        </w:rPr>
        <w:t>中国证监会行政处罚决定书(江建华、熊碧波)</w:t>
      </w:r>
    </w:p>
    <w:p w:rsidR="004F2F9A" w:rsidRPr="004F2F9A" w:rsidRDefault="004F2F9A" w:rsidP="004F2F9A">
      <w:pPr>
        <w:widowControl/>
        <w:shd w:val="clear" w:color="auto" w:fill="FFFFFF"/>
        <w:spacing w:line="315" w:lineRule="atLeast"/>
        <w:ind w:firstLine="420"/>
        <w:jc w:val="center"/>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〔2013〕39号</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当事人：江建华，男，香港居民，1956年11月出生，2007年9月至今为上海娴遐投资管理有限公司（以下简称</w:t>
      </w:r>
      <w:proofErr w:type="gramStart"/>
      <w:r w:rsidRPr="004F2F9A">
        <w:rPr>
          <w:rFonts w:ascii="宋体" w:eastAsia="宋体" w:hAnsi="宋体" w:cs="宋体" w:hint="eastAsia"/>
          <w:color w:val="000000"/>
          <w:kern w:val="0"/>
          <w:szCs w:val="21"/>
        </w:rPr>
        <w:t>娴遐</w:t>
      </w:r>
      <w:proofErr w:type="gramEnd"/>
      <w:r w:rsidRPr="004F2F9A">
        <w:rPr>
          <w:rFonts w:ascii="宋体" w:eastAsia="宋体" w:hAnsi="宋体" w:cs="宋体" w:hint="eastAsia"/>
          <w:color w:val="000000"/>
          <w:kern w:val="0"/>
          <w:szCs w:val="21"/>
        </w:rPr>
        <w:t>投资）法定代表人、实际控制人、执行董事，住址：上海市闸北区。</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熊碧波，男，加拿大永久居民，1968年1月出生，原上海天力投资咨询顾问公司董事长，住址：上海市浦东新区。</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依据《中华人民共和国证券法》（以下简称《证券法》）的有关规定，我会对江建华、熊碧波涉嫌内幕交易秦皇岛天业通联重工股份有限公司（以下简称天业通联）股票的行为进行了立案调查、审理，并依法向当事人告知了</w:t>
      </w:r>
      <w:proofErr w:type="gramStart"/>
      <w:r w:rsidRPr="004F2F9A">
        <w:rPr>
          <w:rFonts w:ascii="宋体" w:eastAsia="宋体" w:hAnsi="宋体" w:cs="宋体" w:hint="eastAsia"/>
          <w:color w:val="000000"/>
          <w:kern w:val="0"/>
          <w:szCs w:val="21"/>
        </w:rPr>
        <w:t>作出</w:t>
      </w:r>
      <w:proofErr w:type="gramEnd"/>
      <w:r w:rsidRPr="004F2F9A">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经查明，江建华、熊碧波存在以下违法事实：</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一、内幕信息的形成和公开过程</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2011年6月2日，天业通联法定代表人朱某和时任敖</w:t>
      </w:r>
      <w:proofErr w:type="gramStart"/>
      <w:r w:rsidRPr="004F2F9A">
        <w:rPr>
          <w:rFonts w:ascii="宋体" w:eastAsia="宋体" w:hAnsi="宋体" w:cs="宋体" w:hint="eastAsia"/>
          <w:color w:val="000000"/>
          <w:kern w:val="0"/>
          <w:szCs w:val="21"/>
        </w:rPr>
        <w:t>汉银亿矿业</w:t>
      </w:r>
      <w:proofErr w:type="gramEnd"/>
      <w:r w:rsidRPr="004F2F9A">
        <w:rPr>
          <w:rFonts w:ascii="宋体" w:eastAsia="宋体" w:hAnsi="宋体" w:cs="宋体" w:hint="eastAsia"/>
          <w:color w:val="000000"/>
          <w:kern w:val="0"/>
          <w:szCs w:val="21"/>
        </w:rPr>
        <w:t>有限公司（以下简称敖汉银亿）法定代表人金某就天业通联收购敖汉银亿事项进行了初步磋商。2011年6月11日，朱某、郑某（时任天业通联董秘）、陈某、熊碧波（后3人乘同一航班）到达赤峰并于次日考察敖汉银亿。考察期间，朱某等</w:t>
      </w:r>
      <w:proofErr w:type="gramStart"/>
      <w:r w:rsidRPr="004F2F9A">
        <w:rPr>
          <w:rFonts w:ascii="宋体" w:eastAsia="宋体" w:hAnsi="宋体" w:cs="宋体" w:hint="eastAsia"/>
          <w:color w:val="000000"/>
          <w:kern w:val="0"/>
          <w:szCs w:val="21"/>
        </w:rPr>
        <w:t>人和金</w:t>
      </w:r>
      <w:proofErr w:type="gramEnd"/>
      <w:r w:rsidRPr="004F2F9A">
        <w:rPr>
          <w:rFonts w:ascii="宋体" w:eastAsia="宋体" w:hAnsi="宋体" w:cs="宋体" w:hint="eastAsia"/>
          <w:color w:val="000000"/>
          <w:kern w:val="0"/>
          <w:szCs w:val="21"/>
        </w:rPr>
        <w:t>某对收购事项进行了磋商。双方对天业通联控股和收购价格分歧不大。2011年6月13日，郑某和熊碧波、陈某三人坐同一航班回上海。2011年7月底，朱某和金某就收购敖汉银</w:t>
      </w:r>
      <w:proofErr w:type="gramStart"/>
      <w:r w:rsidRPr="004F2F9A">
        <w:rPr>
          <w:rFonts w:ascii="宋体" w:eastAsia="宋体" w:hAnsi="宋体" w:cs="宋体" w:hint="eastAsia"/>
          <w:color w:val="000000"/>
          <w:kern w:val="0"/>
          <w:szCs w:val="21"/>
        </w:rPr>
        <w:t>亿最终</w:t>
      </w:r>
      <w:proofErr w:type="gramEnd"/>
      <w:r w:rsidRPr="004F2F9A">
        <w:rPr>
          <w:rFonts w:ascii="宋体" w:eastAsia="宋体" w:hAnsi="宋体" w:cs="宋体" w:hint="eastAsia"/>
          <w:color w:val="000000"/>
          <w:kern w:val="0"/>
          <w:szCs w:val="21"/>
        </w:rPr>
        <w:t>达成一致。2011年8月2日，金某与朱某签署《股权收购及增资意向协议》。2011年8月4日，天业通联公告前述收购事项。</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天业通联收购敖汉银亿股权事项属于《证券法》第六十七条第二款第（二）项所述的“公司的重大投资行为和重大的购置财产的决定”。该事项在2011年8月4日公开前属内幕信息。该内幕信息形成日期不迟于2011年6月13日。</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二、江建华、熊碧波知悉内幕信息情况</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4F2F9A">
        <w:rPr>
          <w:rFonts w:ascii="宋体" w:eastAsia="宋体" w:hAnsi="宋体" w:cs="宋体" w:hint="eastAsia"/>
          <w:color w:val="000000"/>
          <w:kern w:val="0"/>
          <w:szCs w:val="21"/>
        </w:rPr>
        <w:t>娴遐</w:t>
      </w:r>
      <w:proofErr w:type="gramEnd"/>
      <w:r w:rsidRPr="004F2F9A">
        <w:rPr>
          <w:rFonts w:ascii="宋体" w:eastAsia="宋体" w:hAnsi="宋体" w:cs="宋体" w:hint="eastAsia"/>
          <w:color w:val="000000"/>
          <w:kern w:val="0"/>
          <w:szCs w:val="21"/>
        </w:rPr>
        <w:t>投资时为天业通联持股5%以上的大股东，江建华是</w:t>
      </w:r>
      <w:proofErr w:type="gramStart"/>
      <w:r w:rsidRPr="004F2F9A">
        <w:rPr>
          <w:rFonts w:ascii="宋体" w:eastAsia="宋体" w:hAnsi="宋体" w:cs="宋体" w:hint="eastAsia"/>
          <w:color w:val="000000"/>
          <w:kern w:val="0"/>
          <w:szCs w:val="21"/>
        </w:rPr>
        <w:t>娴遐</w:t>
      </w:r>
      <w:proofErr w:type="gramEnd"/>
      <w:r w:rsidRPr="004F2F9A">
        <w:rPr>
          <w:rFonts w:ascii="宋体" w:eastAsia="宋体" w:hAnsi="宋体" w:cs="宋体" w:hint="eastAsia"/>
          <w:color w:val="000000"/>
          <w:kern w:val="0"/>
          <w:szCs w:val="21"/>
        </w:rPr>
        <w:t>投资的执行董事和实际控制人，系《证券法》第七十四条第一款第（二）项规定的法定内幕信息知情人。此外，郑某、陈某由</w:t>
      </w:r>
      <w:proofErr w:type="gramStart"/>
      <w:r w:rsidRPr="004F2F9A">
        <w:rPr>
          <w:rFonts w:ascii="宋体" w:eastAsia="宋体" w:hAnsi="宋体" w:cs="宋体" w:hint="eastAsia"/>
          <w:color w:val="000000"/>
          <w:kern w:val="0"/>
          <w:szCs w:val="21"/>
        </w:rPr>
        <w:t>娴遐</w:t>
      </w:r>
      <w:proofErr w:type="gramEnd"/>
      <w:r w:rsidRPr="004F2F9A">
        <w:rPr>
          <w:rFonts w:ascii="宋体" w:eastAsia="宋体" w:hAnsi="宋体" w:cs="宋体" w:hint="eastAsia"/>
          <w:color w:val="000000"/>
          <w:kern w:val="0"/>
          <w:szCs w:val="21"/>
        </w:rPr>
        <w:t>投资派驻到天业通联担任董事，并向江建华汇报天业通联的重大事项。</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熊碧波与江建华、郑某、陈某及</w:t>
      </w:r>
      <w:proofErr w:type="gramStart"/>
      <w:r w:rsidRPr="004F2F9A">
        <w:rPr>
          <w:rFonts w:ascii="宋体" w:eastAsia="宋体" w:hAnsi="宋体" w:cs="宋体" w:hint="eastAsia"/>
          <w:color w:val="000000"/>
          <w:kern w:val="0"/>
          <w:szCs w:val="21"/>
        </w:rPr>
        <w:t>娴遐</w:t>
      </w:r>
      <w:proofErr w:type="gramEnd"/>
      <w:r w:rsidRPr="004F2F9A">
        <w:rPr>
          <w:rFonts w:ascii="宋体" w:eastAsia="宋体" w:hAnsi="宋体" w:cs="宋体" w:hint="eastAsia"/>
          <w:color w:val="000000"/>
          <w:kern w:val="0"/>
          <w:szCs w:val="21"/>
        </w:rPr>
        <w:t>投资关系密切，且在内幕信息公开前与朱某、郑某、陈某等内幕信息知情人存在密切接触，其知悉内幕信息。</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lastRenderedPageBreak/>
        <w:t>三、相关账户交易天业通联股票情况</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江建华通过借用和协议控制李某等9个账户交易天业通联股票。该账户组在2011年6月13日至8月3日期间共买入“天业通联”3,241,775股，买入金额64,527,521.56元。截至2012年6月8日（调查结束日，下同）收盘，该账户组持有的“天业通联”已全部卖出。经计算，该账户组在2011年6月13日至8月3日期间买入的“天业通联”共亏损16,439,735.44元。</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熊碧波实际控制彭某等9个账户交易天业通联股票。该账户组在2011年6月13日至8月3日期间共买入“天业通联”3,677,580股，买入金额72,959,127.86元。截至2012年6月8日收盘，该</w:t>
      </w:r>
      <w:proofErr w:type="gramStart"/>
      <w:r w:rsidRPr="004F2F9A">
        <w:rPr>
          <w:rFonts w:ascii="宋体" w:eastAsia="宋体" w:hAnsi="宋体" w:cs="宋体" w:hint="eastAsia"/>
          <w:color w:val="000000"/>
          <w:kern w:val="0"/>
          <w:szCs w:val="21"/>
        </w:rPr>
        <w:t>账户组尚持有</w:t>
      </w:r>
      <w:proofErr w:type="gramEnd"/>
      <w:r w:rsidRPr="004F2F9A">
        <w:rPr>
          <w:rFonts w:ascii="宋体" w:eastAsia="宋体" w:hAnsi="宋体" w:cs="宋体" w:hint="eastAsia"/>
          <w:color w:val="000000"/>
          <w:kern w:val="0"/>
          <w:szCs w:val="21"/>
        </w:rPr>
        <w:t>“天业通联”688,417股。经计算，该账户组在2011年6月13日至8月3日期间买入的“天业通联”共亏损16,846,257.44元。</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以上违法事实，有询问笔录、相关协议、账户开户材料、交易记录、交易IP地址、MAC地址、资金流水等证据证明，足以认定。</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4F2F9A">
        <w:rPr>
          <w:rFonts w:ascii="宋体" w:eastAsia="宋体" w:hAnsi="宋体" w:cs="宋体" w:hint="eastAsia"/>
          <w:color w:val="000000"/>
          <w:kern w:val="0"/>
          <w:szCs w:val="21"/>
        </w:rPr>
        <w:t>江建华</w:t>
      </w:r>
      <w:proofErr w:type="gramEnd"/>
      <w:r w:rsidRPr="004F2F9A">
        <w:rPr>
          <w:rFonts w:ascii="宋体" w:eastAsia="宋体" w:hAnsi="宋体" w:cs="宋体" w:hint="eastAsia"/>
          <w:color w:val="000000"/>
          <w:kern w:val="0"/>
          <w:szCs w:val="21"/>
        </w:rPr>
        <w:t>、熊碧波的上述行为违反了《证券法》第七十三条、第七十六条的规定，构成了《证券法》第二百零二条所规定的内幕交易行为。</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根据当事人的违法事实、性质、情节与社会危害程度，依据《证券法》第二百零二条的规定，我会决定：</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一、</w:t>
      </w:r>
      <w:proofErr w:type="gramStart"/>
      <w:r w:rsidRPr="004F2F9A">
        <w:rPr>
          <w:rFonts w:ascii="宋体" w:eastAsia="宋体" w:hAnsi="宋体" w:cs="宋体" w:hint="eastAsia"/>
          <w:color w:val="000000"/>
          <w:kern w:val="0"/>
          <w:szCs w:val="21"/>
        </w:rPr>
        <w:t>对江建华</w:t>
      </w:r>
      <w:proofErr w:type="gramEnd"/>
      <w:r w:rsidRPr="004F2F9A">
        <w:rPr>
          <w:rFonts w:ascii="宋体" w:eastAsia="宋体" w:hAnsi="宋体" w:cs="宋体" w:hint="eastAsia"/>
          <w:color w:val="000000"/>
          <w:kern w:val="0"/>
          <w:szCs w:val="21"/>
        </w:rPr>
        <w:t>处以400,000元罚款。</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二、鉴于熊碧波在2010年曾因从事非法证券投资咨询活动被我会行政处罚并予以市场禁入（行政处罚决定书〔2010〕25号、市场禁入决定书〔2010〕9号），对熊碧波从重处以罚款600,000元，并责令其卖出内幕信息敏感期内所买入的天业通联股票，如有违法所得，予以没收。</w:t>
      </w:r>
    </w:p>
    <w:p w:rsidR="004F2F9A" w:rsidRPr="004F2F9A" w:rsidRDefault="004F2F9A" w:rsidP="004F2F9A">
      <w:pPr>
        <w:widowControl/>
        <w:shd w:val="clear" w:color="auto" w:fill="FFFFFF"/>
        <w:spacing w:line="315" w:lineRule="atLeast"/>
        <w:ind w:firstLine="420"/>
        <w:jc w:val="lef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中国证监会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宋体" w:eastAsia="宋体" w:hAnsi="宋体" w:cs="宋体" w:hint="eastAsia"/>
          <w:color w:val="000000"/>
          <w:kern w:val="0"/>
          <w:szCs w:val="21"/>
        </w:rPr>
        <w:t xml:space="preserve">2013年8月26日　</w:t>
      </w:r>
    </w:p>
    <w:p w:rsidR="004F2F9A" w:rsidRPr="004F2F9A" w:rsidRDefault="004F2F9A" w:rsidP="004F2F9A">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4F2F9A">
        <w:rPr>
          <w:rFonts w:ascii="Times New Roman" w:eastAsia="宋体" w:hAnsi="Times New Roman" w:cs="Times New Roman"/>
          <w:color w:val="000000"/>
          <w:kern w:val="0"/>
          <w:sz w:val="30"/>
          <w:szCs w:val="30"/>
        </w:rPr>
        <w:t xml:space="preserve">　　</w:t>
      </w:r>
    </w:p>
    <w:p w:rsidR="004F2F9A" w:rsidRPr="004F2F9A" w:rsidRDefault="004F2F9A" w:rsidP="004F2F9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F2F9A" w:rsidRPr="004F2F9A" w:rsidTr="004F2F9A">
        <w:trPr>
          <w:tblCellSpacing w:w="15" w:type="dxa"/>
          <w:jc w:val="center"/>
        </w:trPr>
        <w:tc>
          <w:tcPr>
            <w:tcW w:w="900" w:type="dxa"/>
            <w:vAlign w:val="center"/>
            <w:hideMark/>
          </w:tcPr>
          <w:p w:rsidR="004F2F9A" w:rsidRPr="004F2F9A" w:rsidRDefault="004F2F9A" w:rsidP="004F2F9A">
            <w:pPr>
              <w:widowControl/>
              <w:jc w:val="left"/>
              <w:rPr>
                <w:rFonts w:ascii="宋体" w:eastAsia="宋体" w:hAnsi="宋体" w:cs="宋体" w:hint="eastAsia"/>
                <w:kern w:val="0"/>
                <w:sz w:val="18"/>
                <w:szCs w:val="18"/>
              </w:rPr>
            </w:pPr>
            <w:r w:rsidRPr="004F2F9A">
              <w:rPr>
                <w:rFonts w:ascii="宋体" w:eastAsia="宋体" w:hAnsi="宋体" w:cs="宋体"/>
                <w:kern w:val="0"/>
                <w:sz w:val="18"/>
                <w:szCs w:val="18"/>
              </w:rPr>
              <w:t> </w:t>
            </w:r>
          </w:p>
        </w:tc>
        <w:tc>
          <w:tcPr>
            <w:tcW w:w="1200" w:type="dxa"/>
            <w:vAlign w:val="center"/>
            <w:hideMark/>
          </w:tcPr>
          <w:p w:rsidR="004F2F9A" w:rsidRPr="004F2F9A" w:rsidRDefault="004F2F9A" w:rsidP="004F2F9A">
            <w:pPr>
              <w:widowControl/>
              <w:jc w:val="left"/>
              <w:rPr>
                <w:rFonts w:ascii="宋体" w:eastAsia="宋体" w:hAnsi="宋体" w:cs="宋体"/>
                <w:kern w:val="0"/>
                <w:sz w:val="18"/>
                <w:szCs w:val="18"/>
              </w:rPr>
            </w:pPr>
            <w:r w:rsidRPr="004F2F9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2F9A" w:rsidRPr="004F2F9A" w:rsidRDefault="004F2F9A" w:rsidP="004F2F9A">
            <w:pPr>
              <w:widowControl/>
              <w:jc w:val="left"/>
              <w:rPr>
                <w:rFonts w:ascii="宋体" w:eastAsia="宋体" w:hAnsi="宋体" w:cs="宋体"/>
                <w:kern w:val="0"/>
                <w:sz w:val="18"/>
                <w:szCs w:val="18"/>
              </w:rPr>
            </w:pPr>
            <w:r w:rsidRPr="004F2F9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2F9A" w:rsidRPr="004F2F9A" w:rsidRDefault="004F2F9A" w:rsidP="004F2F9A">
            <w:pPr>
              <w:widowControl/>
              <w:jc w:val="left"/>
              <w:rPr>
                <w:rFonts w:ascii="宋体" w:eastAsia="宋体" w:hAnsi="宋体" w:cs="宋体"/>
                <w:kern w:val="0"/>
                <w:sz w:val="18"/>
                <w:szCs w:val="18"/>
              </w:rPr>
            </w:pPr>
            <w:r w:rsidRPr="004F2F9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F2F9A" w:rsidRPr="004F2F9A" w:rsidRDefault="004F2F9A" w:rsidP="004F2F9A">
      <w:pPr>
        <w:widowControl/>
        <w:jc w:val="center"/>
        <w:rPr>
          <w:rFonts w:ascii="微软雅黑" w:eastAsia="微软雅黑" w:hAnsi="微软雅黑" w:cs="宋体"/>
          <w:color w:val="515151"/>
          <w:kern w:val="0"/>
          <w:sz w:val="18"/>
          <w:szCs w:val="18"/>
        </w:rPr>
      </w:pPr>
      <w:hyperlink r:id="rId11" w:tgtFrame="_blank" w:history="1">
        <w:r w:rsidRPr="004F2F9A">
          <w:rPr>
            <w:rFonts w:ascii="微软雅黑" w:eastAsia="微软雅黑" w:hAnsi="微软雅黑" w:cs="宋体" w:hint="eastAsia"/>
            <w:color w:val="0000FF"/>
            <w:kern w:val="0"/>
            <w:sz w:val="18"/>
            <w:szCs w:val="18"/>
            <w:u w:val="single"/>
          </w:rPr>
          <w:t>关于我们</w:t>
        </w:r>
      </w:hyperlink>
      <w:r w:rsidRPr="004F2F9A">
        <w:rPr>
          <w:rFonts w:ascii="微软雅黑" w:eastAsia="微软雅黑" w:hAnsi="微软雅黑" w:cs="宋体" w:hint="eastAsia"/>
          <w:color w:val="515151"/>
          <w:kern w:val="0"/>
          <w:sz w:val="18"/>
          <w:szCs w:val="18"/>
        </w:rPr>
        <w:t> - </w:t>
      </w:r>
      <w:hyperlink r:id="rId12" w:tgtFrame="_blank" w:history="1">
        <w:r w:rsidRPr="004F2F9A">
          <w:rPr>
            <w:rFonts w:ascii="微软雅黑" w:eastAsia="微软雅黑" w:hAnsi="微软雅黑" w:cs="宋体" w:hint="eastAsia"/>
            <w:color w:val="0000FF"/>
            <w:kern w:val="0"/>
            <w:sz w:val="18"/>
            <w:szCs w:val="18"/>
            <w:u w:val="single"/>
          </w:rPr>
          <w:t>法律声明</w:t>
        </w:r>
      </w:hyperlink>
      <w:r w:rsidRPr="004F2F9A">
        <w:rPr>
          <w:rFonts w:ascii="微软雅黑" w:eastAsia="微软雅黑" w:hAnsi="微软雅黑" w:cs="宋体" w:hint="eastAsia"/>
          <w:color w:val="515151"/>
          <w:kern w:val="0"/>
          <w:sz w:val="18"/>
          <w:szCs w:val="18"/>
        </w:rPr>
        <w:t> - </w:t>
      </w:r>
      <w:hyperlink r:id="rId13" w:tgtFrame="_blank" w:history="1">
        <w:r w:rsidRPr="004F2F9A">
          <w:rPr>
            <w:rFonts w:ascii="微软雅黑" w:eastAsia="微软雅黑" w:hAnsi="微软雅黑" w:cs="宋体" w:hint="eastAsia"/>
            <w:color w:val="0000FF"/>
            <w:kern w:val="0"/>
            <w:sz w:val="18"/>
            <w:szCs w:val="18"/>
            <w:u w:val="single"/>
          </w:rPr>
          <w:t>联系我们</w:t>
        </w:r>
      </w:hyperlink>
    </w:p>
    <w:p w:rsidR="004F2F9A" w:rsidRPr="004F2F9A" w:rsidRDefault="004F2F9A" w:rsidP="004F2F9A">
      <w:pPr>
        <w:widowControl/>
        <w:jc w:val="center"/>
        <w:rPr>
          <w:rFonts w:ascii="微软雅黑" w:eastAsia="微软雅黑" w:hAnsi="微软雅黑" w:cs="宋体" w:hint="eastAsia"/>
          <w:color w:val="515151"/>
          <w:kern w:val="0"/>
          <w:sz w:val="18"/>
          <w:szCs w:val="18"/>
        </w:rPr>
      </w:pPr>
      <w:r w:rsidRPr="004F2F9A">
        <w:rPr>
          <w:rFonts w:ascii="微软雅黑" w:eastAsia="微软雅黑" w:hAnsi="微软雅黑" w:cs="宋体" w:hint="eastAsia"/>
          <w:color w:val="515151"/>
          <w:kern w:val="0"/>
          <w:sz w:val="18"/>
          <w:szCs w:val="18"/>
        </w:rPr>
        <w:t>版权所有：中国证券监督管理委员会 京ICP备 05035542号</w:t>
      </w:r>
    </w:p>
    <w:p w:rsidR="004F2F9A" w:rsidRPr="004F2F9A" w:rsidRDefault="004F2F9A" w:rsidP="004F2F9A">
      <w:pPr>
        <w:widowControl/>
        <w:jc w:val="center"/>
        <w:rPr>
          <w:rFonts w:ascii="微软雅黑" w:eastAsia="微软雅黑" w:hAnsi="微软雅黑" w:cs="宋体" w:hint="eastAsia"/>
          <w:color w:val="515151"/>
          <w:kern w:val="0"/>
          <w:sz w:val="18"/>
          <w:szCs w:val="18"/>
        </w:rPr>
      </w:pPr>
      <w:r w:rsidRPr="004F2F9A">
        <w:rPr>
          <w:rFonts w:ascii="微软雅黑" w:eastAsia="微软雅黑" w:hAnsi="微软雅黑" w:cs="宋体" w:hint="eastAsia"/>
          <w:color w:val="515151"/>
          <w:kern w:val="0"/>
          <w:sz w:val="18"/>
          <w:szCs w:val="18"/>
        </w:rPr>
        <w:t>地址：北京市西城区金融大街19号富凯大厦A座 邮编：100033</w:t>
      </w:r>
    </w:p>
    <w:p w:rsidR="004F2F9A" w:rsidRPr="004F2F9A" w:rsidRDefault="004F2F9A" w:rsidP="004F2F9A">
      <w:pPr>
        <w:widowControl/>
        <w:jc w:val="center"/>
        <w:rPr>
          <w:rFonts w:ascii="微软雅黑" w:eastAsia="微软雅黑" w:hAnsi="微软雅黑" w:cs="宋体" w:hint="eastAsia"/>
          <w:color w:val="515151"/>
          <w:kern w:val="0"/>
          <w:sz w:val="18"/>
          <w:szCs w:val="18"/>
        </w:rPr>
      </w:pPr>
      <w:r w:rsidRPr="004F2F9A">
        <w:rPr>
          <w:rFonts w:ascii="微软雅黑" w:eastAsia="微软雅黑" w:hAnsi="微软雅黑" w:cs="宋体" w:hint="eastAsia"/>
          <w:color w:val="515151"/>
          <w:kern w:val="0"/>
          <w:sz w:val="18"/>
          <w:szCs w:val="18"/>
        </w:rPr>
        <w:t>建议使用IE5.5以上浏览器，分辨率1024*768</w:t>
      </w:r>
    </w:p>
    <w:p w:rsidR="005E7404" w:rsidRPr="004F2F9A" w:rsidRDefault="005E7404"/>
    <w:sectPr w:rsidR="005E7404" w:rsidRPr="004F2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9A"/>
    <w:rsid w:val="004F2F9A"/>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68524-3C1A-4FD0-A66D-49EEDF6C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F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2F9A"/>
    <w:rPr>
      <w:b/>
      <w:bCs/>
    </w:rPr>
  </w:style>
  <w:style w:type="paragraph" w:customStyle="1" w:styleId="p0">
    <w:name w:val="p0"/>
    <w:basedOn w:val="a"/>
    <w:rsid w:val="004F2F9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F2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968410">
      <w:bodyDiv w:val="1"/>
      <w:marLeft w:val="0"/>
      <w:marRight w:val="0"/>
      <w:marTop w:val="0"/>
      <w:marBottom w:val="0"/>
      <w:divBdr>
        <w:top w:val="none" w:sz="0" w:space="0" w:color="auto"/>
        <w:left w:val="none" w:sz="0" w:space="0" w:color="auto"/>
        <w:bottom w:val="none" w:sz="0" w:space="0" w:color="auto"/>
        <w:right w:val="none" w:sz="0" w:space="0" w:color="auto"/>
      </w:divBdr>
      <w:divsChild>
        <w:div w:id="945963691">
          <w:marLeft w:val="0"/>
          <w:marRight w:val="0"/>
          <w:marTop w:val="150"/>
          <w:marBottom w:val="150"/>
          <w:divBdr>
            <w:top w:val="none" w:sz="0" w:space="0" w:color="auto"/>
            <w:left w:val="none" w:sz="0" w:space="0" w:color="auto"/>
            <w:bottom w:val="none" w:sz="0" w:space="0" w:color="auto"/>
            <w:right w:val="none" w:sz="0" w:space="0" w:color="auto"/>
          </w:divBdr>
        </w:div>
        <w:div w:id="2128349293">
          <w:marLeft w:val="0"/>
          <w:marRight w:val="0"/>
          <w:marTop w:val="0"/>
          <w:marBottom w:val="0"/>
          <w:divBdr>
            <w:top w:val="single" w:sz="6" w:space="8" w:color="B5B5B5"/>
            <w:left w:val="single" w:sz="6" w:space="0" w:color="B5B5B5"/>
            <w:bottom w:val="single" w:sz="6" w:space="8" w:color="B5B5B5"/>
            <w:right w:val="single" w:sz="6" w:space="0" w:color="B5B5B5"/>
          </w:divBdr>
          <w:divsChild>
            <w:div w:id="1192500214">
              <w:marLeft w:val="0"/>
              <w:marRight w:val="0"/>
              <w:marTop w:val="0"/>
              <w:marBottom w:val="0"/>
              <w:divBdr>
                <w:top w:val="none" w:sz="0" w:space="0" w:color="auto"/>
                <w:left w:val="none" w:sz="0" w:space="0" w:color="auto"/>
                <w:bottom w:val="none" w:sz="0" w:space="0" w:color="auto"/>
                <w:right w:val="none" w:sz="0" w:space="0" w:color="auto"/>
              </w:divBdr>
            </w:div>
            <w:div w:id="1247812034">
              <w:marLeft w:val="0"/>
              <w:marRight w:val="0"/>
              <w:marTop w:val="0"/>
              <w:marBottom w:val="0"/>
              <w:divBdr>
                <w:top w:val="none" w:sz="0" w:space="0" w:color="auto"/>
                <w:left w:val="none" w:sz="0" w:space="0" w:color="auto"/>
                <w:bottom w:val="none" w:sz="0" w:space="0" w:color="auto"/>
                <w:right w:val="none" w:sz="0" w:space="0" w:color="auto"/>
              </w:divBdr>
              <w:divsChild>
                <w:div w:id="1321615807">
                  <w:marLeft w:val="0"/>
                  <w:marRight w:val="0"/>
                  <w:marTop w:val="90"/>
                  <w:marBottom w:val="90"/>
                  <w:divBdr>
                    <w:top w:val="none" w:sz="0" w:space="0" w:color="auto"/>
                    <w:left w:val="none" w:sz="0" w:space="0" w:color="auto"/>
                    <w:bottom w:val="none" w:sz="0" w:space="0" w:color="auto"/>
                    <w:right w:val="none" w:sz="0" w:space="0" w:color="auto"/>
                  </w:divBdr>
                </w:div>
              </w:divsChild>
            </w:div>
            <w:div w:id="2094550211">
              <w:marLeft w:val="0"/>
              <w:marRight w:val="0"/>
              <w:marTop w:val="120"/>
              <w:marBottom w:val="120"/>
              <w:divBdr>
                <w:top w:val="none" w:sz="0" w:space="0" w:color="auto"/>
                <w:left w:val="none" w:sz="0" w:space="0" w:color="auto"/>
                <w:bottom w:val="none" w:sz="0" w:space="0" w:color="auto"/>
                <w:right w:val="none" w:sz="0" w:space="0" w:color="auto"/>
              </w:divBdr>
            </w:div>
          </w:divsChild>
        </w:div>
        <w:div w:id="311714371">
          <w:marLeft w:val="0"/>
          <w:marRight w:val="0"/>
          <w:marTop w:val="120"/>
          <w:marBottom w:val="0"/>
          <w:divBdr>
            <w:top w:val="none" w:sz="0" w:space="0" w:color="auto"/>
            <w:left w:val="none" w:sz="0" w:space="0" w:color="auto"/>
            <w:bottom w:val="none" w:sz="0" w:space="0" w:color="auto"/>
            <w:right w:val="none" w:sz="0" w:space="0" w:color="auto"/>
          </w:divBdr>
          <w:divsChild>
            <w:div w:id="1463963676">
              <w:marLeft w:val="0"/>
              <w:marRight w:val="0"/>
              <w:marTop w:val="60"/>
              <w:marBottom w:val="0"/>
              <w:divBdr>
                <w:top w:val="none" w:sz="0" w:space="0" w:color="auto"/>
                <w:left w:val="none" w:sz="0" w:space="0" w:color="auto"/>
                <w:bottom w:val="none" w:sz="0" w:space="0" w:color="auto"/>
                <w:right w:val="none" w:sz="0" w:space="0" w:color="auto"/>
              </w:divBdr>
            </w:div>
            <w:div w:id="1328442095">
              <w:marLeft w:val="0"/>
              <w:marRight w:val="0"/>
              <w:marTop w:val="60"/>
              <w:marBottom w:val="0"/>
              <w:divBdr>
                <w:top w:val="none" w:sz="0" w:space="0" w:color="auto"/>
                <w:left w:val="none" w:sz="0" w:space="0" w:color="auto"/>
                <w:bottom w:val="none" w:sz="0" w:space="0" w:color="auto"/>
                <w:right w:val="none" w:sz="0" w:space="0" w:color="auto"/>
              </w:divBdr>
            </w:div>
            <w:div w:id="203491396">
              <w:marLeft w:val="0"/>
              <w:marRight w:val="0"/>
              <w:marTop w:val="60"/>
              <w:marBottom w:val="0"/>
              <w:divBdr>
                <w:top w:val="none" w:sz="0" w:space="0" w:color="auto"/>
                <w:left w:val="none" w:sz="0" w:space="0" w:color="auto"/>
                <w:bottom w:val="none" w:sz="0" w:space="0" w:color="auto"/>
                <w:right w:val="none" w:sz="0" w:space="0" w:color="auto"/>
              </w:divBdr>
            </w:div>
            <w:div w:id="787511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10_23968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2020-02-19T14:15:00Z</dcterms:created>
  <dcterms:modified xsi:type="dcterms:W3CDTF">2020-02-19T14:15:00Z</dcterms:modified>
</cp:coreProperties>
</file>