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5512" w:rsidRPr="00F95512" w:rsidRDefault="00F95512" w:rsidP="00F95512">
      <w:pPr>
        <w:widowControl/>
        <w:jc w:val="center"/>
        <w:rPr>
          <w:rFonts w:ascii="微软雅黑" w:eastAsia="微软雅黑" w:hAnsi="微软雅黑" w:cs="宋体"/>
          <w:color w:val="000000"/>
          <w:kern w:val="0"/>
          <w:sz w:val="18"/>
          <w:szCs w:val="18"/>
        </w:rPr>
      </w:pPr>
      <w:r w:rsidRPr="00F95512">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F95512" w:rsidRPr="00F95512" w:rsidTr="00F9551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5512" w:rsidRPr="00F95512">
              <w:trPr>
                <w:tblCellSpacing w:w="0" w:type="dxa"/>
              </w:trPr>
              <w:tc>
                <w:tcPr>
                  <w:tcW w:w="2500" w:type="pct"/>
                  <w:tcMar>
                    <w:top w:w="30" w:type="dxa"/>
                    <w:left w:w="30" w:type="dxa"/>
                    <w:bottom w:w="30" w:type="dxa"/>
                    <w:right w:w="30" w:type="dxa"/>
                  </w:tcMar>
                  <w:hideMark/>
                </w:tcPr>
                <w:p w:rsidR="00F95512" w:rsidRPr="00F95512" w:rsidRDefault="00F95512" w:rsidP="00F95512">
                  <w:pPr>
                    <w:widowControl/>
                    <w:jc w:val="left"/>
                    <w:rPr>
                      <w:rFonts w:ascii="宋体" w:eastAsia="宋体" w:hAnsi="宋体" w:cs="宋体" w:hint="eastAsia"/>
                      <w:color w:val="686868"/>
                      <w:kern w:val="0"/>
                      <w:sz w:val="18"/>
                      <w:szCs w:val="18"/>
                    </w:rPr>
                  </w:pPr>
                  <w:r w:rsidRPr="00F95512">
                    <w:rPr>
                      <w:rFonts w:ascii="宋体" w:eastAsia="宋体" w:hAnsi="宋体" w:cs="宋体"/>
                      <w:b/>
                      <w:bCs/>
                      <w:color w:val="686868"/>
                      <w:kern w:val="0"/>
                      <w:sz w:val="18"/>
                      <w:szCs w:val="18"/>
                    </w:rPr>
                    <w:t>索 引 号:</w:t>
                  </w:r>
                  <w:r w:rsidRPr="00F95512">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F95512" w:rsidRPr="00F95512" w:rsidRDefault="00F95512" w:rsidP="00F95512">
                  <w:pPr>
                    <w:widowControl/>
                    <w:jc w:val="left"/>
                    <w:rPr>
                      <w:rFonts w:ascii="宋体" w:eastAsia="宋体" w:hAnsi="宋体" w:cs="宋体"/>
                      <w:color w:val="686868"/>
                      <w:kern w:val="0"/>
                      <w:sz w:val="18"/>
                      <w:szCs w:val="18"/>
                    </w:rPr>
                  </w:pPr>
                  <w:r w:rsidRPr="00F95512">
                    <w:rPr>
                      <w:rFonts w:ascii="宋体" w:eastAsia="宋体" w:hAnsi="宋体" w:cs="宋体"/>
                      <w:b/>
                      <w:bCs/>
                      <w:color w:val="686868"/>
                      <w:kern w:val="0"/>
                      <w:sz w:val="18"/>
                      <w:szCs w:val="18"/>
                    </w:rPr>
                    <w:t>分类:</w:t>
                  </w:r>
                  <w:r w:rsidRPr="00F95512">
                    <w:rPr>
                      <w:rFonts w:ascii="宋体" w:eastAsia="宋体" w:hAnsi="宋体" w:cs="宋体"/>
                      <w:color w:val="686868"/>
                      <w:kern w:val="0"/>
                      <w:sz w:val="18"/>
                      <w:szCs w:val="18"/>
                    </w:rPr>
                    <w:t> 行政处罚 ; 行政处罚决定</w:t>
                  </w:r>
                </w:p>
              </w:tc>
            </w:tr>
          </w:tbl>
          <w:p w:rsidR="00F95512" w:rsidRPr="00F95512" w:rsidRDefault="00F95512" w:rsidP="00F95512">
            <w:pPr>
              <w:widowControl/>
              <w:jc w:val="left"/>
              <w:rPr>
                <w:rFonts w:ascii="宋体" w:eastAsia="宋体" w:hAnsi="宋体" w:cs="宋体"/>
                <w:color w:val="686868"/>
                <w:kern w:val="0"/>
                <w:sz w:val="18"/>
                <w:szCs w:val="18"/>
              </w:rPr>
            </w:pPr>
          </w:p>
        </w:tc>
      </w:tr>
      <w:tr w:rsidR="00F95512" w:rsidRPr="00F95512" w:rsidTr="00F9551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5512" w:rsidRPr="00F95512">
              <w:trPr>
                <w:tblCellSpacing w:w="0" w:type="dxa"/>
              </w:trPr>
              <w:tc>
                <w:tcPr>
                  <w:tcW w:w="2500" w:type="pct"/>
                  <w:tcMar>
                    <w:top w:w="30" w:type="dxa"/>
                    <w:left w:w="30" w:type="dxa"/>
                    <w:bottom w:w="30" w:type="dxa"/>
                    <w:right w:w="30" w:type="dxa"/>
                  </w:tcMar>
                  <w:hideMark/>
                </w:tcPr>
                <w:p w:rsidR="00F95512" w:rsidRPr="00F95512" w:rsidRDefault="00F95512" w:rsidP="00F95512">
                  <w:pPr>
                    <w:widowControl/>
                    <w:jc w:val="left"/>
                    <w:rPr>
                      <w:rFonts w:ascii="宋体" w:eastAsia="宋体" w:hAnsi="宋体" w:cs="宋体"/>
                      <w:color w:val="686868"/>
                      <w:kern w:val="0"/>
                      <w:sz w:val="18"/>
                      <w:szCs w:val="18"/>
                    </w:rPr>
                  </w:pPr>
                  <w:r w:rsidRPr="00F95512">
                    <w:rPr>
                      <w:rFonts w:ascii="宋体" w:eastAsia="宋体" w:hAnsi="宋体" w:cs="宋体"/>
                      <w:b/>
                      <w:bCs/>
                      <w:color w:val="686868"/>
                      <w:kern w:val="0"/>
                      <w:sz w:val="18"/>
                      <w:szCs w:val="18"/>
                    </w:rPr>
                    <w:t>发布机构:</w:t>
                  </w:r>
                  <w:r w:rsidRPr="00F95512">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F95512" w:rsidRPr="00F95512" w:rsidRDefault="00F95512" w:rsidP="00F95512">
                  <w:pPr>
                    <w:widowControl/>
                    <w:jc w:val="left"/>
                    <w:rPr>
                      <w:rFonts w:ascii="宋体" w:eastAsia="宋体" w:hAnsi="宋体" w:cs="宋体"/>
                      <w:color w:val="686868"/>
                      <w:kern w:val="0"/>
                      <w:sz w:val="18"/>
                      <w:szCs w:val="18"/>
                    </w:rPr>
                  </w:pPr>
                  <w:r w:rsidRPr="00F95512">
                    <w:rPr>
                      <w:rFonts w:ascii="宋体" w:eastAsia="宋体" w:hAnsi="宋体" w:cs="宋体"/>
                      <w:b/>
                      <w:bCs/>
                      <w:color w:val="686868"/>
                      <w:kern w:val="0"/>
                      <w:sz w:val="18"/>
                      <w:szCs w:val="18"/>
                    </w:rPr>
                    <w:t>发文日期:</w:t>
                  </w:r>
                  <w:r w:rsidRPr="00F95512">
                    <w:rPr>
                      <w:rFonts w:ascii="宋体" w:eastAsia="宋体" w:hAnsi="宋体" w:cs="宋体"/>
                      <w:color w:val="686868"/>
                      <w:kern w:val="0"/>
                      <w:sz w:val="18"/>
                      <w:szCs w:val="18"/>
                    </w:rPr>
                    <w:t> 2013年10月22日</w:t>
                  </w:r>
                </w:p>
              </w:tc>
            </w:tr>
          </w:tbl>
          <w:p w:rsidR="00F95512" w:rsidRPr="00F95512" w:rsidRDefault="00F95512" w:rsidP="00F95512">
            <w:pPr>
              <w:widowControl/>
              <w:jc w:val="left"/>
              <w:rPr>
                <w:rFonts w:ascii="宋体" w:eastAsia="宋体" w:hAnsi="宋体" w:cs="宋体"/>
                <w:color w:val="686868"/>
                <w:kern w:val="0"/>
                <w:sz w:val="18"/>
                <w:szCs w:val="18"/>
              </w:rPr>
            </w:pPr>
          </w:p>
        </w:tc>
      </w:tr>
      <w:tr w:rsidR="00F95512" w:rsidRPr="00F95512" w:rsidTr="00F95512">
        <w:trPr>
          <w:tblCellSpacing w:w="0" w:type="dxa"/>
          <w:jc w:val="center"/>
        </w:trPr>
        <w:tc>
          <w:tcPr>
            <w:tcW w:w="0" w:type="auto"/>
            <w:tcMar>
              <w:top w:w="30" w:type="dxa"/>
              <w:left w:w="30" w:type="dxa"/>
              <w:bottom w:w="30" w:type="dxa"/>
              <w:right w:w="30" w:type="dxa"/>
            </w:tcMar>
            <w:hideMark/>
          </w:tcPr>
          <w:p w:rsidR="00F95512" w:rsidRPr="00F95512" w:rsidRDefault="00F95512" w:rsidP="00F95512">
            <w:pPr>
              <w:widowControl/>
              <w:jc w:val="left"/>
              <w:rPr>
                <w:rFonts w:ascii="宋体" w:eastAsia="宋体" w:hAnsi="宋体" w:cs="宋体"/>
                <w:color w:val="686868"/>
                <w:kern w:val="0"/>
                <w:sz w:val="18"/>
                <w:szCs w:val="18"/>
              </w:rPr>
            </w:pPr>
            <w:r w:rsidRPr="00F95512">
              <w:rPr>
                <w:rFonts w:ascii="宋体" w:eastAsia="宋体" w:hAnsi="宋体" w:cs="宋体"/>
                <w:b/>
                <w:bCs/>
                <w:color w:val="686868"/>
                <w:kern w:val="0"/>
                <w:sz w:val="18"/>
                <w:szCs w:val="18"/>
              </w:rPr>
              <w:t>名　　称:</w:t>
            </w:r>
            <w:r w:rsidRPr="00F95512">
              <w:rPr>
                <w:rFonts w:ascii="宋体" w:eastAsia="宋体" w:hAnsi="宋体" w:cs="宋体"/>
                <w:color w:val="686868"/>
                <w:kern w:val="0"/>
                <w:sz w:val="18"/>
                <w:szCs w:val="18"/>
              </w:rPr>
              <w:t> 中国证监会行政处罚决定书（方振颖、方振韶）</w:t>
            </w:r>
          </w:p>
        </w:tc>
      </w:tr>
      <w:tr w:rsidR="00F95512" w:rsidRPr="00F95512" w:rsidTr="00F95512">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F95512" w:rsidRPr="00F95512">
              <w:trPr>
                <w:tblCellSpacing w:w="0" w:type="dxa"/>
              </w:trPr>
              <w:tc>
                <w:tcPr>
                  <w:tcW w:w="2500" w:type="pct"/>
                  <w:tcMar>
                    <w:top w:w="30" w:type="dxa"/>
                    <w:left w:w="30" w:type="dxa"/>
                    <w:bottom w:w="30" w:type="dxa"/>
                    <w:right w:w="30" w:type="dxa"/>
                  </w:tcMar>
                  <w:hideMark/>
                </w:tcPr>
                <w:p w:rsidR="00F95512" w:rsidRPr="00F95512" w:rsidRDefault="00F95512" w:rsidP="00F95512">
                  <w:pPr>
                    <w:widowControl/>
                    <w:jc w:val="left"/>
                    <w:rPr>
                      <w:rFonts w:ascii="宋体" w:eastAsia="宋体" w:hAnsi="宋体" w:cs="宋体"/>
                      <w:color w:val="686868"/>
                      <w:kern w:val="0"/>
                      <w:sz w:val="18"/>
                      <w:szCs w:val="18"/>
                    </w:rPr>
                  </w:pPr>
                  <w:r w:rsidRPr="00F95512">
                    <w:rPr>
                      <w:rFonts w:ascii="宋体" w:eastAsia="宋体" w:hAnsi="宋体" w:cs="宋体"/>
                      <w:b/>
                      <w:bCs/>
                      <w:color w:val="686868"/>
                      <w:kern w:val="0"/>
                      <w:sz w:val="18"/>
                      <w:szCs w:val="18"/>
                    </w:rPr>
                    <w:t>文　　号:</w:t>
                  </w:r>
                  <w:r w:rsidRPr="00F95512">
                    <w:rPr>
                      <w:rFonts w:ascii="宋体" w:eastAsia="宋体" w:hAnsi="宋体" w:cs="宋体"/>
                      <w:color w:val="686868"/>
                      <w:kern w:val="0"/>
                      <w:sz w:val="18"/>
                      <w:szCs w:val="18"/>
                    </w:rPr>
                    <w:t> </w:t>
                  </w:r>
                  <w:bookmarkStart w:id="0" w:name="_GoBack"/>
                  <w:r w:rsidRPr="00F95512">
                    <w:rPr>
                      <w:rFonts w:ascii="宋体" w:eastAsia="宋体" w:hAnsi="宋体" w:cs="宋体"/>
                      <w:color w:val="686868"/>
                      <w:kern w:val="0"/>
                      <w:sz w:val="18"/>
                      <w:szCs w:val="18"/>
                    </w:rPr>
                    <w:t>〔2013〕57号</w:t>
                  </w:r>
                  <w:bookmarkEnd w:id="0"/>
                </w:p>
              </w:tc>
              <w:tc>
                <w:tcPr>
                  <w:tcW w:w="0" w:type="auto"/>
                  <w:tcMar>
                    <w:top w:w="30" w:type="dxa"/>
                    <w:left w:w="30" w:type="dxa"/>
                    <w:bottom w:w="30" w:type="dxa"/>
                    <w:right w:w="30" w:type="dxa"/>
                  </w:tcMar>
                  <w:hideMark/>
                </w:tcPr>
                <w:p w:rsidR="00F95512" w:rsidRPr="00F95512" w:rsidRDefault="00F95512" w:rsidP="00F95512">
                  <w:pPr>
                    <w:widowControl/>
                    <w:jc w:val="left"/>
                    <w:rPr>
                      <w:rFonts w:ascii="宋体" w:eastAsia="宋体" w:hAnsi="宋体" w:cs="宋体"/>
                      <w:color w:val="686868"/>
                      <w:kern w:val="0"/>
                      <w:sz w:val="18"/>
                      <w:szCs w:val="18"/>
                    </w:rPr>
                  </w:pPr>
                  <w:r w:rsidRPr="00F95512">
                    <w:rPr>
                      <w:rFonts w:ascii="宋体" w:eastAsia="宋体" w:hAnsi="宋体" w:cs="宋体"/>
                      <w:b/>
                      <w:bCs/>
                      <w:color w:val="686868"/>
                      <w:kern w:val="0"/>
                      <w:sz w:val="18"/>
                      <w:szCs w:val="18"/>
                    </w:rPr>
                    <w:t>主 题 词:</w:t>
                  </w:r>
                </w:p>
              </w:tc>
            </w:tr>
          </w:tbl>
          <w:p w:rsidR="00F95512" w:rsidRPr="00F95512" w:rsidRDefault="00F95512" w:rsidP="00F95512">
            <w:pPr>
              <w:widowControl/>
              <w:jc w:val="left"/>
              <w:rPr>
                <w:rFonts w:ascii="宋体" w:eastAsia="宋体" w:hAnsi="宋体" w:cs="宋体"/>
                <w:color w:val="686868"/>
                <w:kern w:val="0"/>
                <w:sz w:val="18"/>
                <w:szCs w:val="18"/>
              </w:rPr>
            </w:pPr>
          </w:p>
        </w:tc>
      </w:tr>
    </w:tbl>
    <w:p w:rsidR="00F95512" w:rsidRPr="00F95512" w:rsidRDefault="00F95512" w:rsidP="00F95512">
      <w:pPr>
        <w:widowControl/>
        <w:jc w:val="center"/>
        <w:rPr>
          <w:rFonts w:ascii="微软雅黑" w:eastAsia="微软雅黑" w:hAnsi="微软雅黑" w:cs="宋体"/>
          <w:color w:val="000000"/>
          <w:kern w:val="0"/>
          <w:sz w:val="18"/>
          <w:szCs w:val="18"/>
        </w:rPr>
      </w:pPr>
      <w:r w:rsidRPr="00F95512">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F95512" w:rsidRPr="00F95512" w:rsidRDefault="00F95512" w:rsidP="00F95512">
      <w:pPr>
        <w:widowControl/>
        <w:shd w:val="clear" w:color="auto" w:fill="FFFFFF"/>
        <w:spacing w:after="240"/>
        <w:jc w:val="center"/>
        <w:rPr>
          <w:rFonts w:ascii="微软雅黑" w:eastAsia="微软雅黑" w:hAnsi="微软雅黑" w:cs="宋体" w:hint="eastAsia"/>
          <w:color w:val="000000"/>
          <w:kern w:val="0"/>
          <w:sz w:val="18"/>
          <w:szCs w:val="18"/>
        </w:rPr>
      </w:pPr>
      <w:r w:rsidRPr="00F95512">
        <w:rPr>
          <w:rFonts w:ascii="微软雅黑" w:eastAsia="微软雅黑" w:hAnsi="微软雅黑" w:cs="宋体" w:hint="eastAsia"/>
          <w:color w:val="000000"/>
          <w:kern w:val="0"/>
          <w:sz w:val="18"/>
          <w:szCs w:val="18"/>
        </w:rPr>
        <w:br/>
      </w:r>
      <w:r w:rsidRPr="00F95512">
        <w:rPr>
          <w:rFonts w:ascii="黑体" w:eastAsia="黑体" w:hAnsi="黑体" w:cs="宋体" w:hint="eastAsia"/>
          <w:b/>
          <w:bCs/>
          <w:color w:val="FF0000"/>
          <w:kern w:val="0"/>
          <w:sz w:val="36"/>
          <w:szCs w:val="36"/>
        </w:rPr>
        <w:t>中国证监会行政处罚决定书（方振颖、方振韶）</w:t>
      </w:r>
    </w:p>
    <w:p w:rsidR="00F95512" w:rsidRPr="00F95512" w:rsidRDefault="00F95512" w:rsidP="00F95512">
      <w:pPr>
        <w:widowControl/>
        <w:shd w:val="clear" w:color="auto" w:fill="FFFFFF"/>
        <w:spacing w:line="360" w:lineRule="atLeast"/>
        <w:jc w:val="center"/>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w:t>
      </w:r>
      <w:r w:rsidRPr="00F95512">
        <w:rPr>
          <w:rFonts w:ascii="Times New Roman" w:eastAsia="方正仿宋简体" w:hAnsi="Times New Roman" w:cs="Times New Roman" w:hint="eastAsia"/>
          <w:color w:val="000000"/>
          <w:kern w:val="0"/>
          <w:szCs w:val="21"/>
        </w:rPr>
        <w:t>2013</w:t>
      </w:r>
      <w:r w:rsidRPr="00F95512">
        <w:rPr>
          <w:rFonts w:ascii="方正仿宋简体" w:eastAsia="方正仿宋简体" w:hAnsi="楷体" w:cs="宋体" w:hint="eastAsia"/>
          <w:color w:val="000000"/>
          <w:kern w:val="0"/>
          <w:szCs w:val="21"/>
        </w:rPr>
        <w:t>〕</w:t>
      </w:r>
      <w:r w:rsidRPr="00F95512">
        <w:rPr>
          <w:rFonts w:ascii="Times New Roman" w:eastAsia="方正仿宋简体" w:hAnsi="Times New Roman" w:cs="Times New Roman" w:hint="eastAsia"/>
          <w:color w:val="000000"/>
          <w:kern w:val="0"/>
          <w:szCs w:val="21"/>
        </w:rPr>
        <w:t>57</w:t>
      </w:r>
      <w:r w:rsidRPr="00F95512">
        <w:rPr>
          <w:rFonts w:ascii="方正仿宋简体" w:eastAsia="方正仿宋简体" w:hAnsi="楷体" w:cs="宋体" w:hint="eastAsia"/>
          <w:color w:val="000000"/>
          <w:kern w:val="0"/>
          <w:szCs w:val="21"/>
        </w:rPr>
        <w:t>号</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当事人：方振颖，男，</w:t>
      </w:r>
      <w:r w:rsidRPr="00F95512">
        <w:rPr>
          <w:rFonts w:ascii="Times New Roman" w:eastAsia="方正仿宋简体" w:hAnsi="Times New Roman" w:cs="Times New Roman" w:hint="eastAsia"/>
          <w:color w:val="000000"/>
          <w:kern w:val="0"/>
          <w:szCs w:val="21"/>
        </w:rPr>
        <w:t>1966</w:t>
      </w:r>
      <w:r w:rsidRPr="00F95512">
        <w:rPr>
          <w:rFonts w:ascii="方正仿宋简体" w:eastAsia="方正仿宋简体" w:hAnsi="楷体" w:cs="宋体" w:hint="eastAsia"/>
          <w:color w:val="000000"/>
          <w:kern w:val="0"/>
          <w:szCs w:val="21"/>
        </w:rPr>
        <w:t>年</w:t>
      </w:r>
      <w:r w:rsidRPr="00F95512">
        <w:rPr>
          <w:rFonts w:ascii="Times New Roman" w:eastAsia="方正仿宋简体" w:hAnsi="Times New Roman" w:cs="Times New Roman" w:hint="eastAsia"/>
          <w:color w:val="000000"/>
          <w:kern w:val="0"/>
          <w:szCs w:val="21"/>
        </w:rPr>
        <w:t>4</w:t>
      </w:r>
      <w:r w:rsidRPr="00F95512">
        <w:rPr>
          <w:rFonts w:ascii="方正仿宋简体" w:eastAsia="方正仿宋简体" w:hAnsi="楷体" w:cs="宋体" w:hint="eastAsia"/>
          <w:color w:val="000000"/>
          <w:kern w:val="0"/>
          <w:szCs w:val="21"/>
        </w:rPr>
        <w:t>月出生，住址：广东省开平市长沙港口路，</w:t>
      </w:r>
      <w:r w:rsidRPr="00F95512">
        <w:rPr>
          <w:rFonts w:ascii="Times New Roman" w:eastAsia="方正仿宋简体" w:hAnsi="Times New Roman" w:cs="Times New Roman" w:hint="eastAsia"/>
          <w:color w:val="000000"/>
          <w:kern w:val="0"/>
          <w:szCs w:val="21"/>
        </w:rPr>
        <w:t>2011</w:t>
      </w:r>
      <w:r w:rsidRPr="00F95512">
        <w:rPr>
          <w:rFonts w:ascii="方正仿宋简体" w:eastAsia="方正仿宋简体" w:hAnsi="楷体" w:cs="宋体" w:hint="eastAsia"/>
          <w:color w:val="000000"/>
          <w:kern w:val="0"/>
          <w:szCs w:val="21"/>
        </w:rPr>
        <w:t>年</w:t>
      </w:r>
      <w:r w:rsidRPr="00F95512">
        <w:rPr>
          <w:rFonts w:ascii="Times New Roman" w:eastAsia="方正仿宋简体" w:hAnsi="Times New Roman" w:cs="Times New Roman" w:hint="eastAsia"/>
          <w:color w:val="000000"/>
          <w:kern w:val="0"/>
          <w:szCs w:val="21"/>
        </w:rPr>
        <w:t>9</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16</w:t>
      </w:r>
      <w:r w:rsidRPr="00F95512">
        <w:rPr>
          <w:rFonts w:ascii="方正仿宋简体" w:eastAsia="方正仿宋简体" w:hAnsi="楷体" w:cs="宋体" w:hint="eastAsia"/>
          <w:color w:val="000000"/>
          <w:kern w:val="0"/>
          <w:szCs w:val="21"/>
        </w:rPr>
        <w:t>日起任广东开平春晖股份有限公司（以下简称春晖股份）董事长。</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方振韶，男，</w:t>
      </w:r>
      <w:r w:rsidRPr="00F95512">
        <w:rPr>
          <w:rFonts w:ascii="Times New Roman" w:eastAsia="方正仿宋简体" w:hAnsi="Times New Roman" w:cs="Times New Roman" w:hint="eastAsia"/>
          <w:color w:val="000000"/>
          <w:kern w:val="0"/>
          <w:szCs w:val="21"/>
        </w:rPr>
        <w:t>1971</w:t>
      </w:r>
      <w:r w:rsidRPr="00F95512">
        <w:rPr>
          <w:rFonts w:ascii="方正仿宋简体" w:eastAsia="方正仿宋简体" w:hAnsi="楷体" w:cs="宋体" w:hint="eastAsia"/>
          <w:color w:val="000000"/>
          <w:kern w:val="0"/>
          <w:szCs w:val="21"/>
        </w:rPr>
        <w:t>年</w:t>
      </w:r>
      <w:r w:rsidRPr="00F95512">
        <w:rPr>
          <w:rFonts w:ascii="Times New Roman" w:eastAsia="方正仿宋简体" w:hAnsi="Times New Roman" w:cs="Times New Roman" w:hint="eastAsia"/>
          <w:color w:val="000000"/>
          <w:kern w:val="0"/>
          <w:szCs w:val="21"/>
        </w:rPr>
        <w:t>8</w:t>
      </w:r>
      <w:r w:rsidRPr="00F95512">
        <w:rPr>
          <w:rFonts w:ascii="方正仿宋简体" w:eastAsia="方正仿宋简体" w:hAnsi="楷体" w:cs="宋体" w:hint="eastAsia"/>
          <w:color w:val="000000"/>
          <w:kern w:val="0"/>
          <w:szCs w:val="21"/>
        </w:rPr>
        <w:t>月出生，住址：广东省开平市三埠街道办事处长沙东郊南区，系方振颖之弟。</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依据《中华人民共和国证券法》（以下简称《证券法》）的有关规定，我会对方振颖、方振韶内幕交易违法行为进行了立案调查、审理，并依法向当事人告知了</w:t>
      </w:r>
      <w:proofErr w:type="gramStart"/>
      <w:r w:rsidRPr="00F95512">
        <w:rPr>
          <w:rFonts w:ascii="方正仿宋简体" w:eastAsia="方正仿宋简体" w:hAnsi="楷体" w:cs="宋体" w:hint="eastAsia"/>
          <w:color w:val="000000"/>
          <w:kern w:val="0"/>
          <w:szCs w:val="21"/>
        </w:rPr>
        <w:t>作出</w:t>
      </w:r>
      <w:proofErr w:type="gramEnd"/>
      <w:r w:rsidRPr="00F95512">
        <w:rPr>
          <w:rFonts w:ascii="方正仿宋简体" w:eastAsia="方正仿宋简体" w:hAnsi="楷体" w:cs="宋体" w:hint="eastAsia"/>
          <w:color w:val="000000"/>
          <w:kern w:val="0"/>
          <w:szCs w:val="21"/>
        </w:rPr>
        <w:t>行政处罚的事实、理由、依据及当事人依法享有的权利。当事人均未提出陈述、申辩意见。本案现已调查、审理终结。</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经查明，当事人存在以下内幕交易违法事实：</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黑体简体" w:eastAsia="方正黑体简体" w:hAnsi="楷体" w:cs="宋体" w:hint="eastAsia"/>
          <w:color w:val="000000"/>
          <w:kern w:val="0"/>
          <w:szCs w:val="21"/>
        </w:rPr>
        <w:t>一、内幕信息的形成与公开过程</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春晖股份是一家深圳证券交易所上市公司，第一大股东为</w:t>
      </w:r>
      <w:proofErr w:type="gramStart"/>
      <w:r w:rsidRPr="00F95512">
        <w:rPr>
          <w:rFonts w:ascii="方正仿宋简体" w:eastAsia="方正仿宋简体" w:hAnsi="楷体" w:cs="宋体" w:hint="eastAsia"/>
          <w:color w:val="000000"/>
          <w:kern w:val="0"/>
          <w:szCs w:val="21"/>
        </w:rPr>
        <w:t>广州市鸿汇投资</w:t>
      </w:r>
      <w:proofErr w:type="gramEnd"/>
      <w:r w:rsidRPr="00F95512">
        <w:rPr>
          <w:rFonts w:ascii="方正仿宋简体" w:eastAsia="方正仿宋简体" w:hAnsi="楷体" w:cs="宋体" w:hint="eastAsia"/>
          <w:color w:val="000000"/>
          <w:kern w:val="0"/>
          <w:szCs w:val="21"/>
        </w:rPr>
        <w:t>有限公司（以下</w:t>
      </w:r>
      <w:proofErr w:type="gramStart"/>
      <w:r w:rsidRPr="00F95512">
        <w:rPr>
          <w:rFonts w:ascii="方正仿宋简体" w:eastAsia="方正仿宋简体" w:hAnsi="楷体" w:cs="宋体" w:hint="eastAsia"/>
          <w:color w:val="000000"/>
          <w:kern w:val="0"/>
          <w:szCs w:val="21"/>
        </w:rPr>
        <w:t>简称鸿汇投资</w:t>
      </w:r>
      <w:proofErr w:type="gramEnd"/>
      <w:r w:rsidRPr="00F95512">
        <w:rPr>
          <w:rFonts w:ascii="方正仿宋简体" w:eastAsia="方正仿宋简体" w:hAnsi="楷体" w:cs="宋体" w:hint="eastAsia"/>
          <w:color w:val="000000"/>
          <w:kern w:val="0"/>
          <w:szCs w:val="21"/>
        </w:rPr>
        <w:t>，持股比例</w:t>
      </w:r>
      <w:r w:rsidRPr="00F95512">
        <w:rPr>
          <w:rFonts w:ascii="Times New Roman" w:eastAsia="方正仿宋简体" w:hAnsi="Times New Roman" w:cs="Times New Roman" w:hint="eastAsia"/>
          <w:color w:val="000000"/>
          <w:kern w:val="0"/>
          <w:szCs w:val="21"/>
        </w:rPr>
        <w:t>12.15%</w:t>
      </w:r>
      <w:r w:rsidRPr="00F95512">
        <w:rPr>
          <w:rFonts w:ascii="方正仿宋简体" w:eastAsia="方正仿宋简体" w:hAnsi="楷体" w:cs="宋体" w:hint="eastAsia"/>
          <w:color w:val="000000"/>
          <w:kern w:val="0"/>
          <w:szCs w:val="21"/>
        </w:rPr>
        <w:t>），第二大、第三大股东均为开平市国资委控股企业，合计持股比例</w:t>
      </w:r>
      <w:r w:rsidRPr="00F95512">
        <w:rPr>
          <w:rFonts w:ascii="Times New Roman" w:eastAsia="方正仿宋简体" w:hAnsi="Times New Roman" w:cs="Times New Roman" w:hint="eastAsia"/>
          <w:color w:val="000000"/>
          <w:kern w:val="0"/>
          <w:szCs w:val="21"/>
        </w:rPr>
        <w:t>12.79%</w:t>
      </w:r>
      <w:r w:rsidRPr="00F95512">
        <w:rPr>
          <w:rFonts w:ascii="方正仿宋简体" w:eastAsia="方正仿宋简体" w:hAnsi="楷体" w:cs="宋体" w:hint="eastAsia"/>
          <w:color w:val="000000"/>
          <w:kern w:val="0"/>
          <w:szCs w:val="21"/>
        </w:rPr>
        <w:t>。</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2</w:t>
      </w:r>
      <w:r w:rsidRPr="00F95512">
        <w:rPr>
          <w:rFonts w:ascii="方正仿宋简体" w:eastAsia="方正仿宋简体" w:hAnsi="楷体" w:cs="宋体" w:hint="eastAsia"/>
          <w:color w:val="000000"/>
          <w:kern w:val="0"/>
          <w:szCs w:val="21"/>
        </w:rPr>
        <w:t>月，广东省广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资产经营有限公司（以下简称广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资产）动议将其全资子公司广东省广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酒店集团有限公司（以下简称广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酒店）借壳春晖股份上市。</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4</w:t>
      </w:r>
      <w:r w:rsidRPr="00F95512">
        <w:rPr>
          <w:rFonts w:ascii="方正仿宋简体" w:eastAsia="方正仿宋简体" w:hAnsi="楷体" w:cs="宋体" w:hint="eastAsia"/>
          <w:color w:val="000000"/>
          <w:kern w:val="0"/>
          <w:szCs w:val="21"/>
        </w:rPr>
        <w:t>月，广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资产委托中介机构草拟了广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酒店借壳春晖股份上市的方案，并</w:t>
      </w:r>
      <w:proofErr w:type="gramStart"/>
      <w:r w:rsidRPr="00F95512">
        <w:rPr>
          <w:rFonts w:ascii="方正仿宋简体" w:eastAsia="方正仿宋简体" w:hAnsi="楷体" w:cs="宋体" w:hint="eastAsia"/>
          <w:color w:val="000000"/>
          <w:kern w:val="0"/>
          <w:szCs w:val="21"/>
        </w:rPr>
        <w:t>与鸿汇投资</w:t>
      </w:r>
      <w:proofErr w:type="gramEnd"/>
      <w:r w:rsidRPr="00F95512">
        <w:rPr>
          <w:rFonts w:ascii="方正仿宋简体" w:eastAsia="方正仿宋简体" w:hAnsi="楷体" w:cs="宋体" w:hint="eastAsia"/>
          <w:color w:val="000000"/>
          <w:kern w:val="0"/>
          <w:szCs w:val="21"/>
        </w:rPr>
        <w:t>总经理、实际控制人、香港人士江某灿进行初步沟通。</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6</w:t>
      </w:r>
      <w:r w:rsidRPr="00F95512">
        <w:rPr>
          <w:rFonts w:ascii="方正仿宋简体" w:eastAsia="方正仿宋简体" w:hAnsi="楷体" w:cs="宋体" w:hint="eastAsia"/>
          <w:color w:val="000000"/>
          <w:kern w:val="0"/>
          <w:szCs w:val="21"/>
        </w:rPr>
        <w:t>月左右，广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资产有关负责人与江某灿进行小范围会谈，江某灿表示对重组春晖股份有兴趣；随后，广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资产联系时任开平市经信局局长方振颖，征求开平市政府意见。</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6</w:t>
      </w:r>
      <w:r w:rsidRPr="00F95512">
        <w:rPr>
          <w:rFonts w:ascii="方正仿宋简体" w:eastAsia="方正仿宋简体" w:hAnsi="楷体" w:cs="宋体" w:hint="eastAsia"/>
          <w:color w:val="000000"/>
          <w:kern w:val="0"/>
          <w:szCs w:val="21"/>
        </w:rPr>
        <w:t>月至</w:t>
      </w:r>
      <w:r w:rsidRPr="00F95512">
        <w:rPr>
          <w:rFonts w:ascii="Times New Roman" w:eastAsia="方正仿宋简体" w:hAnsi="Times New Roman" w:cs="Times New Roman" w:hint="eastAsia"/>
          <w:color w:val="000000"/>
          <w:kern w:val="0"/>
          <w:szCs w:val="21"/>
        </w:rPr>
        <w:t>7</w:t>
      </w:r>
      <w:r w:rsidRPr="00F95512">
        <w:rPr>
          <w:rFonts w:ascii="方正仿宋简体" w:eastAsia="方正仿宋简体" w:hAnsi="楷体" w:cs="宋体" w:hint="eastAsia"/>
          <w:color w:val="000000"/>
          <w:kern w:val="0"/>
          <w:szCs w:val="21"/>
        </w:rPr>
        <w:t>月，</w:t>
      </w:r>
      <w:proofErr w:type="gramStart"/>
      <w:r w:rsidRPr="00F95512">
        <w:rPr>
          <w:rFonts w:ascii="方正仿宋简体" w:eastAsia="方正仿宋简体" w:hAnsi="楷体" w:cs="宋体" w:hint="eastAsia"/>
          <w:color w:val="000000"/>
          <w:kern w:val="0"/>
          <w:szCs w:val="21"/>
        </w:rPr>
        <w:t>经方振颖联系</w:t>
      </w:r>
      <w:proofErr w:type="gramEnd"/>
      <w:r w:rsidRPr="00F95512">
        <w:rPr>
          <w:rFonts w:ascii="方正仿宋简体" w:eastAsia="方正仿宋简体" w:hAnsi="楷体" w:cs="宋体" w:hint="eastAsia"/>
          <w:color w:val="000000"/>
          <w:kern w:val="0"/>
          <w:szCs w:val="21"/>
        </w:rPr>
        <w:t>，开平市市长、方振颖等人与广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资产有关负责人商讨重组春晖股份事宜。开平市政府表态欢迎广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资产重组春晖股份，并指派方振颖等人具体办理。</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lastRenderedPageBreak/>
        <w:t>2011年</w:t>
      </w:r>
      <w:r w:rsidRPr="00F95512">
        <w:rPr>
          <w:rFonts w:ascii="Times New Roman" w:eastAsia="方正仿宋简体" w:hAnsi="Times New Roman" w:cs="Times New Roman" w:hint="eastAsia"/>
          <w:color w:val="000000"/>
          <w:kern w:val="0"/>
          <w:szCs w:val="21"/>
        </w:rPr>
        <w:t>8</w:t>
      </w:r>
      <w:r w:rsidRPr="00F95512">
        <w:rPr>
          <w:rFonts w:ascii="方正仿宋简体" w:eastAsia="方正仿宋简体" w:hAnsi="楷体" w:cs="宋体" w:hint="eastAsia"/>
          <w:color w:val="000000"/>
          <w:kern w:val="0"/>
          <w:szCs w:val="21"/>
        </w:rPr>
        <w:t>月初，广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资产有关负责人与江某灿、方振颖等会面，三方就广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酒店借壳重组春晖股份事宜基本达成一致，即春晖股份原有化纤资产全</w:t>
      </w:r>
      <w:proofErr w:type="gramStart"/>
      <w:r w:rsidRPr="00F95512">
        <w:rPr>
          <w:rFonts w:ascii="方正仿宋简体" w:eastAsia="方正仿宋简体" w:hAnsi="楷体" w:cs="宋体" w:hint="eastAsia"/>
          <w:color w:val="000000"/>
          <w:kern w:val="0"/>
          <w:szCs w:val="21"/>
        </w:rPr>
        <w:t>部置</w:t>
      </w:r>
      <w:proofErr w:type="gramEnd"/>
      <w:r w:rsidRPr="00F95512">
        <w:rPr>
          <w:rFonts w:ascii="方正仿宋简体" w:eastAsia="方正仿宋简体" w:hAnsi="楷体" w:cs="宋体" w:hint="eastAsia"/>
          <w:color w:val="000000"/>
          <w:kern w:val="0"/>
          <w:szCs w:val="21"/>
        </w:rPr>
        <w:t>出，广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酒店资产置入，避免出现双重主业，置出的化纤资产由江某灿与开平市政府按照原有股份比例承担。</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8</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16</w:t>
      </w:r>
      <w:r w:rsidRPr="00F95512">
        <w:rPr>
          <w:rFonts w:ascii="方正仿宋简体" w:eastAsia="方正仿宋简体" w:hAnsi="楷体" w:cs="宋体" w:hint="eastAsia"/>
          <w:color w:val="000000"/>
          <w:kern w:val="0"/>
          <w:szCs w:val="21"/>
        </w:rPr>
        <w:t>日至</w:t>
      </w:r>
      <w:r w:rsidRPr="00F95512">
        <w:rPr>
          <w:rFonts w:ascii="Times New Roman" w:eastAsia="方正仿宋简体" w:hAnsi="Times New Roman" w:cs="Times New Roman" w:hint="eastAsia"/>
          <w:color w:val="000000"/>
          <w:kern w:val="0"/>
          <w:szCs w:val="21"/>
        </w:rPr>
        <w:t>22</w:t>
      </w:r>
      <w:r w:rsidRPr="00F95512">
        <w:rPr>
          <w:rFonts w:ascii="方正仿宋简体" w:eastAsia="方正仿宋简体" w:hAnsi="楷体" w:cs="宋体" w:hint="eastAsia"/>
          <w:color w:val="000000"/>
          <w:kern w:val="0"/>
          <w:szCs w:val="21"/>
        </w:rPr>
        <w:t>日，广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酒店履行借壳上市的内部决策程序。</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9</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16</w:t>
      </w:r>
      <w:r w:rsidRPr="00F95512">
        <w:rPr>
          <w:rFonts w:ascii="方正仿宋简体" w:eastAsia="方正仿宋简体" w:hAnsi="楷体" w:cs="宋体" w:hint="eastAsia"/>
          <w:color w:val="000000"/>
          <w:kern w:val="0"/>
          <w:szCs w:val="21"/>
        </w:rPr>
        <w:t>日，春晖股份召开股东大会，通过了董事会任命方振颖为公司董事长的议案。</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10</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8</w:t>
      </w:r>
      <w:r w:rsidRPr="00F95512">
        <w:rPr>
          <w:rFonts w:ascii="方正仿宋简体" w:eastAsia="方正仿宋简体" w:hAnsi="楷体" w:cs="宋体" w:hint="eastAsia"/>
          <w:color w:val="000000"/>
          <w:kern w:val="0"/>
          <w:szCs w:val="21"/>
        </w:rPr>
        <w:t>日至</w:t>
      </w:r>
      <w:r w:rsidRPr="00F95512">
        <w:rPr>
          <w:rFonts w:ascii="Times New Roman" w:eastAsia="方正仿宋简体" w:hAnsi="Times New Roman" w:cs="Times New Roman" w:hint="eastAsia"/>
          <w:color w:val="000000"/>
          <w:kern w:val="0"/>
          <w:szCs w:val="21"/>
        </w:rPr>
        <w:t>11</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28</w:t>
      </w:r>
      <w:r w:rsidRPr="00F95512">
        <w:rPr>
          <w:rFonts w:ascii="方正仿宋简体" w:eastAsia="方正仿宋简体" w:hAnsi="楷体" w:cs="宋体" w:hint="eastAsia"/>
          <w:color w:val="000000"/>
          <w:kern w:val="0"/>
          <w:szCs w:val="21"/>
        </w:rPr>
        <w:t>日，中介机构进场清理广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酒店资产，开平市政府同意了重组的大致方向，中介机构起草完毕资产置换及发行股份购买资产及关联交易预案。</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12</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22</w:t>
      </w:r>
      <w:r w:rsidRPr="00F95512">
        <w:rPr>
          <w:rFonts w:ascii="方正仿宋简体" w:eastAsia="方正仿宋简体" w:hAnsi="楷体" w:cs="宋体" w:hint="eastAsia"/>
          <w:color w:val="000000"/>
          <w:kern w:val="0"/>
          <w:szCs w:val="21"/>
        </w:rPr>
        <w:t>日，广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资产对广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酒店资产重组的批复定稿。</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12</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26</w:t>
      </w:r>
      <w:r w:rsidRPr="00F95512">
        <w:rPr>
          <w:rFonts w:ascii="方正仿宋简体" w:eastAsia="方正仿宋简体" w:hAnsi="楷体" w:cs="宋体" w:hint="eastAsia"/>
          <w:color w:val="000000"/>
          <w:kern w:val="0"/>
          <w:szCs w:val="21"/>
        </w:rPr>
        <w:t>日，“春晖股份”上涨</w:t>
      </w:r>
      <w:r w:rsidRPr="00F95512">
        <w:rPr>
          <w:rFonts w:ascii="Times New Roman" w:eastAsia="方正仿宋简体" w:hAnsi="Times New Roman" w:cs="Times New Roman" w:hint="eastAsia"/>
          <w:color w:val="000000"/>
          <w:kern w:val="0"/>
          <w:szCs w:val="21"/>
        </w:rPr>
        <w:t>3.71%</w:t>
      </w:r>
      <w:r w:rsidRPr="00F95512">
        <w:rPr>
          <w:rFonts w:ascii="方正仿宋简体" w:eastAsia="方正仿宋简体" w:hAnsi="楷体" w:cs="宋体" w:hint="eastAsia"/>
          <w:color w:val="000000"/>
          <w:kern w:val="0"/>
          <w:szCs w:val="21"/>
        </w:rPr>
        <w:t>；</w:t>
      </w:r>
      <w:r w:rsidRPr="00F95512">
        <w:rPr>
          <w:rFonts w:ascii="Times New Roman" w:eastAsia="方正仿宋简体" w:hAnsi="Times New Roman" w:cs="Times New Roman" w:hint="eastAsia"/>
          <w:color w:val="000000"/>
          <w:kern w:val="0"/>
          <w:szCs w:val="21"/>
        </w:rPr>
        <w:t>2011</w:t>
      </w:r>
      <w:r w:rsidRPr="00F95512">
        <w:rPr>
          <w:rFonts w:ascii="方正仿宋简体" w:eastAsia="方正仿宋简体" w:hAnsi="楷体" w:cs="宋体" w:hint="eastAsia"/>
          <w:color w:val="000000"/>
          <w:kern w:val="0"/>
          <w:szCs w:val="21"/>
        </w:rPr>
        <w:t>年</w:t>
      </w:r>
      <w:r w:rsidRPr="00F95512">
        <w:rPr>
          <w:rFonts w:ascii="Times New Roman" w:eastAsia="方正仿宋简体" w:hAnsi="Times New Roman" w:cs="Times New Roman" w:hint="eastAsia"/>
          <w:color w:val="000000"/>
          <w:kern w:val="0"/>
          <w:szCs w:val="21"/>
        </w:rPr>
        <w:t>12</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27</w:t>
      </w:r>
      <w:r w:rsidRPr="00F95512">
        <w:rPr>
          <w:rFonts w:ascii="方正仿宋简体" w:eastAsia="方正仿宋简体" w:hAnsi="楷体" w:cs="宋体" w:hint="eastAsia"/>
          <w:color w:val="000000"/>
          <w:kern w:val="0"/>
          <w:szCs w:val="21"/>
        </w:rPr>
        <w:t>日，“春晖股份”涨停。</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2011年</w:t>
      </w:r>
      <w:r w:rsidRPr="00F95512">
        <w:rPr>
          <w:rFonts w:ascii="Times New Roman" w:eastAsia="方正仿宋简体" w:hAnsi="Times New Roman" w:cs="Times New Roman" w:hint="eastAsia"/>
          <w:color w:val="000000"/>
          <w:kern w:val="0"/>
          <w:szCs w:val="21"/>
        </w:rPr>
        <w:t>12</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28</w:t>
      </w:r>
      <w:r w:rsidRPr="00F95512">
        <w:rPr>
          <w:rFonts w:ascii="方正仿宋简体" w:eastAsia="方正仿宋简体" w:hAnsi="楷体" w:cs="宋体" w:hint="eastAsia"/>
          <w:color w:val="000000"/>
          <w:kern w:val="0"/>
          <w:szCs w:val="21"/>
        </w:rPr>
        <w:t>日，深圳证券交易所公告，因春晖股份预计有重大事项发生，经其申请，股票临时停牌。</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2012年</w:t>
      </w:r>
      <w:r w:rsidRPr="00F95512">
        <w:rPr>
          <w:rFonts w:ascii="Times New Roman" w:eastAsia="方正仿宋简体" w:hAnsi="Times New Roman" w:cs="Times New Roman" w:hint="eastAsia"/>
          <w:color w:val="000000"/>
          <w:kern w:val="0"/>
          <w:szCs w:val="21"/>
        </w:rPr>
        <w:t>1</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4</w:t>
      </w:r>
      <w:r w:rsidRPr="00F95512">
        <w:rPr>
          <w:rFonts w:ascii="方正仿宋简体" w:eastAsia="方正仿宋简体" w:hAnsi="楷体" w:cs="宋体" w:hint="eastAsia"/>
          <w:color w:val="000000"/>
          <w:kern w:val="0"/>
          <w:szCs w:val="21"/>
        </w:rPr>
        <w:t>日，春晖股份发布公告，称因正在筹划重大资产重组事项，公司股票自</w:t>
      </w:r>
      <w:r w:rsidRPr="00F95512">
        <w:rPr>
          <w:rFonts w:ascii="Times New Roman" w:eastAsia="方正仿宋简体" w:hAnsi="Times New Roman" w:cs="Times New Roman" w:hint="eastAsia"/>
          <w:color w:val="000000"/>
          <w:kern w:val="0"/>
          <w:szCs w:val="21"/>
        </w:rPr>
        <w:t>2012</w:t>
      </w:r>
      <w:r w:rsidRPr="00F95512">
        <w:rPr>
          <w:rFonts w:ascii="方正仿宋简体" w:eastAsia="方正仿宋简体" w:hAnsi="楷体" w:cs="宋体" w:hint="eastAsia"/>
          <w:color w:val="000000"/>
          <w:kern w:val="0"/>
          <w:szCs w:val="21"/>
        </w:rPr>
        <w:t>年</w:t>
      </w:r>
      <w:r w:rsidRPr="00F95512">
        <w:rPr>
          <w:rFonts w:ascii="Times New Roman" w:eastAsia="方正仿宋简体" w:hAnsi="Times New Roman" w:cs="Times New Roman" w:hint="eastAsia"/>
          <w:color w:val="000000"/>
          <w:kern w:val="0"/>
          <w:szCs w:val="21"/>
        </w:rPr>
        <w:t>1</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5</w:t>
      </w:r>
      <w:r w:rsidRPr="00F95512">
        <w:rPr>
          <w:rFonts w:ascii="方正仿宋简体" w:eastAsia="方正仿宋简体" w:hAnsi="楷体" w:cs="宋体" w:hint="eastAsia"/>
          <w:color w:val="000000"/>
          <w:kern w:val="0"/>
          <w:szCs w:val="21"/>
        </w:rPr>
        <w:t>日起开始停牌。</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2012年</w:t>
      </w:r>
      <w:r w:rsidRPr="00F95512">
        <w:rPr>
          <w:rFonts w:ascii="Times New Roman" w:eastAsia="方正仿宋简体" w:hAnsi="Times New Roman" w:cs="Times New Roman" w:hint="eastAsia"/>
          <w:color w:val="000000"/>
          <w:kern w:val="0"/>
          <w:szCs w:val="21"/>
        </w:rPr>
        <w:t>3</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26</w:t>
      </w:r>
      <w:r w:rsidRPr="00F95512">
        <w:rPr>
          <w:rFonts w:ascii="方正仿宋简体" w:eastAsia="方正仿宋简体" w:hAnsi="楷体" w:cs="宋体" w:hint="eastAsia"/>
          <w:color w:val="000000"/>
          <w:kern w:val="0"/>
          <w:szCs w:val="21"/>
        </w:rPr>
        <w:t>日，春晖股份发布公告，称决定终止筹划本次重大资产重组，公司股票于</w:t>
      </w:r>
      <w:r w:rsidRPr="00F95512">
        <w:rPr>
          <w:rFonts w:ascii="Times New Roman" w:eastAsia="方正仿宋简体" w:hAnsi="Times New Roman" w:cs="Times New Roman" w:hint="eastAsia"/>
          <w:color w:val="000000"/>
          <w:kern w:val="0"/>
          <w:szCs w:val="21"/>
        </w:rPr>
        <w:t>2012</w:t>
      </w:r>
      <w:r w:rsidRPr="00F95512">
        <w:rPr>
          <w:rFonts w:ascii="方正仿宋简体" w:eastAsia="方正仿宋简体" w:hAnsi="楷体" w:cs="宋体" w:hint="eastAsia"/>
          <w:color w:val="000000"/>
          <w:kern w:val="0"/>
          <w:szCs w:val="21"/>
        </w:rPr>
        <w:t>年</w:t>
      </w:r>
      <w:r w:rsidRPr="00F95512">
        <w:rPr>
          <w:rFonts w:ascii="Times New Roman" w:eastAsia="方正仿宋简体" w:hAnsi="Times New Roman" w:cs="Times New Roman" w:hint="eastAsia"/>
          <w:color w:val="000000"/>
          <w:kern w:val="0"/>
          <w:szCs w:val="21"/>
        </w:rPr>
        <w:t>3</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27</w:t>
      </w:r>
      <w:r w:rsidRPr="00F95512">
        <w:rPr>
          <w:rFonts w:ascii="方正仿宋简体" w:eastAsia="方正仿宋简体" w:hAnsi="楷体" w:cs="宋体" w:hint="eastAsia"/>
          <w:color w:val="000000"/>
          <w:kern w:val="0"/>
          <w:szCs w:val="21"/>
        </w:rPr>
        <w:t>日复牌。</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黑体简体" w:eastAsia="方正黑体简体" w:hAnsi="楷体" w:cs="宋体" w:hint="eastAsia"/>
          <w:color w:val="000000"/>
          <w:kern w:val="0"/>
          <w:szCs w:val="21"/>
        </w:rPr>
        <w:t>二、方振颖泄露内幕信息、方振韶内幕交易的情况</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方振韶使用其妻弟“谢振辉”账户，于内幕信息公开前累计买入“春晖股份”</w:t>
      </w:r>
      <w:r w:rsidRPr="00F95512">
        <w:rPr>
          <w:rFonts w:ascii="Times New Roman" w:eastAsia="方正仿宋简体" w:hAnsi="Times New Roman" w:cs="Times New Roman" w:hint="eastAsia"/>
          <w:color w:val="000000"/>
          <w:kern w:val="0"/>
          <w:szCs w:val="21"/>
        </w:rPr>
        <w:t>309,700</w:t>
      </w:r>
      <w:r w:rsidRPr="00F95512">
        <w:rPr>
          <w:rFonts w:ascii="方正仿宋简体" w:eastAsia="方正仿宋简体" w:hAnsi="楷体" w:cs="宋体" w:hint="eastAsia"/>
          <w:color w:val="000000"/>
          <w:kern w:val="0"/>
          <w:szCs w:val="21"/>
        </w:rPr>
        <w:t>股，扣除相关交易费用，亏损</w:t>
      </w:r>
      <w:r w:rsidRPr="00F95512">
        <w:rPr>
          <w:rFonts w:ascii="Times New Roman" w:eastAsia="方正仿宋简体" w:hAnsi="Times New Roman" w:cs="Times New Roman" w:hint="eastAsia"/>
          <w:color w:val="000000"/>
          <w:kern w:val="0"/>
          <w:szCs w:val="21"/>
        </w:rPr>
        <w:t>226,863.76</w:t>
      </w:r>
      <w:r w:rsidRPr="00F95512">
        <w:rPr>
          <w:rFonts w:ascii="方正仿宋简体" w:eastAsia="方正仿宋简体" w:hAnsi="楷体" w:cs="宋体" w:hint="eastAsia"/>
          <w:color w:val="000000"/>
          <w:kern w:val="0"/>
          <w:szCs w:val="21"/>
        </w:rPr>
        <w:t>元。</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以上事实，有相关工商登记资料、涉案人员情况说明、会议记录、重大事项停牌公告、证券账户委托交易资料和当事人询问笔录等证据证明，足以认定。</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我会认为，上述广</w:t>
      </w:r>
      <w:proofErr w:type="gramStart"/>
      <w:r w:rsidRPr="00F95512">
        <w:rPr>
          <w:rFonts w:ascii="方正仿宋简体" w:eastAsia="方正仿宋简体" w:hAnsi="楷体" w:cs="宋体" w:hint="eastAsia"/>
          <w:color w:val="000000"/>
          <w:kern w:val="0"/>
          <w:szCs w:val="21"/>
        </w:rPr>
        <w:t>晟</w:t>
      </w:r>
      <w:proofErr w:type="gramEnd"/>
      <w:r w:rsidRPr="00F95512">
        <w:rPr>
          <w:rFonts w:ascii="方正仿宋简体" w:eastAsia="方正仿宋简体" w:hAnsi="楷体" w:cs="宋体" w:hint="eastAsia"/>
          <w:color w:val="000000"/>
          <w:kern w:val="0"/>
          <w:szCs w:val="21"/>
        </w:rPr>
        <w:t>酒店重组春晖股份事项，属于《证券法》第七十五条规定的内幕信息。</w:t>
      </w:r>
      <w:proofErr w:type="gramStart"/>
      <w:r w:rsidRPr="00F95512">
        <w:rPr>
          <w:rFonts w:ascii="方正仿宋简体" w:eastAsia="方正仿宋简体" w:hAnsi="楷体" w:cs="宋体" w:hint="eastAsia"/>
          <w:color w:val="000000"/>
          <w:kern w:val="0"/>
          <w:szCs w:val="21"/>
        </w:rPr>
        <w:t>方振颖全程</w:t>
      </w:r>
      <w:proofErr w:type="gramEnd"/>
      <w:r w:rsidRPr="00F95512">
        <w:rPr>
          <w:rFonts w:ascii="方正仿宋简体" w:eastAsia="方正仿宋简体" w:hAnsi="楷体" w:cs="宋体" w:hint="eastAsia"/>
          <w:color w:val="000000"/>
          <w:kern w:val="0"/>
          <w:szCs w:val="21"/>
        </w:rPr>
        <w:t>参与了春晖股份的重组过程，是内幕信息知情人。基于上述事实与相关证据材料，综合</w:t>
      </w:r>
      <w:proofErr w:type="gramStart"/>
      <w:r w:rsidRPr="00F95512">
        <w:rPr>
          <w:rFonts w:ascii="方正仿宋简体" w:eastAsia="方正仿宋简体" w:hAnsi="楷体" w:cs="宋体" w:hint="eastAsia"/>
          <w:color w:val="000000"/>
          <w:kern w:val="0"/>
          <w:szCs w:val="21"/>
        </w:rPr>
        <w:t>考量</w:t>
      </w:r>
      <w:proofErr w:type="gramEnd"/>
      <w:r w:rsidRPr="00F95512">
        <w:rPr>
          <w:rFonts w:ascii="方正仿宋简体" w:eastAsia="方正仿宋简体" w:hAnsi="楷体" w:cs="宋体" w:hint="eastAsia"/>
          <w:color w:val="000000"/>
          <w:kern w:val="0"/>
          <w:szCs w:val="21"/>
        </w:rPr>
        <w:t>方振韶与方振颖之间的固有关系、二人</w:t>
      </w:r>
      <w:r w:rsidRPr="00F95512">
        <w:rPr>
          <w:rFonts w:ascii="Times New Roman" w:eastAsia="方正仿宋简体" w:hAnsi="Times New Roman" w:cs="Times New Roman" w:hint="eastAsia"/>
          <w:color w:val="000000"/>
          <w:kern w:val="0"/>
          <w:szCs w:val="21"/>
        </w:rPr>
        <w:t>2011</w:t>
      </w:r>
      <w:r w:rsidRPr="00F95512">
        <w:rPr>
          <w:rFonts w:ascii="方正仿宋简体" w:eastAsia="方正仿宋简体" w:hAnsi="楷体" w:cs="宋体" w:hint="eastAsia"/>
          <w:color w:val="000000"/>
          <w:kern w:val="0"/>
          <w:szCs w:val="21"/>
        </w:rPr>
        <w:t>年</w:t>
      </w:r>
      <w:r w:rsidRPr="00F95512">
        <w:rPr>
          <w:rFonts w:ascii="Times New Roman" w:eastAsia="方正仿宋简体" w:hAnsi="Times New Roman" w:cs="Times New Roman" w:hint="eastAsia"/>
          <w:color w:val="000000"/>
          <w:kern w:val="0"/>
          <w:szCs w:val="21"/>
        </w:rPr>
        <w:t>9</w:t>
      </w:r>
      <w:r w:rsidRPr="00F95512">
        <w:rPr>
          <w:rFonts w:ascii="方正仿宋简体" w:eastAsia="方正仿宋简体" w:hAnsi="楷体" w:cs="宋体" w:hint="eastAsia"/>
          <w:color w:val="000000"/>
          <w:kern w:val="0"/>
          <w:szCs w:val="21"/>
        </w:rPr>
        <w:t>月至</w:t>
      </w:r>
      <w:r w:rsidRPr="00F95512">
        <w:rPr>
          <w:rFonts w:ascii="Times New Roman" w:eastAsia="方正仿宋简体" w:hAnsi="Times New Roman" w:cs="Times New Roman" w:hint="eastAsia"/>
          <w:color w:val="000000"/>
          <w:kern w:val="0"/>
          <w:szCs w:val="21"/>
        </w:rPr>
        <w:t>2012</w:t>
      </w:r>
      <w:r w:rsidRPr="00F95512">
        <w:rPr>
          <w:rFonts w:ascii="方正仿宋简体" w:eastAsia="方正仿宋简体" w:hAnsi="楷体" w:cs="宋体" w:hint="eastAsia"/>
          <w:color w:val="000000"/>
          <w:kern w:val="0"/>
          <w:szCs w:val="21"/>
        </w:rPr>
        <w:t>年</w:t>
      </w:r>
      <w:r w:rsidRPr="00F95512">
        <w:rPr>
          <w:rFonts w:ascii="Times New Roman" w:eastAsia="方正仿宋简体" w:hAnsi="Times New Roman" w:cs="Times New Roman" w:hint="eastAsia"/>
          <w:color w:val="000000"/>
          <w:kern w:val="0"/>
          <w:szCs w:val="21"/>
        </w:rPr>
        <w:t>1</w:t>
      </w:r>
      <w:r w:rsidRPr="00F95512">
        <w:rPr>
          <w:rFonts w:ascii="方正仿宋简体" w:eastAsia="方正仿宋简体" w:hAnsi="楷体" w:cs="宋体" w:hint="eastAsia"/>
          <w:color w:val="000000"/>
          <w:kern w:val="0"/>
          <w:szCs w:val="21"/>
        </w:rPr>
        <w:t>月期间存在比较频繁的手机通话记录，方振韶买入“春晖股份”的时点与买入量明显异常、交易模式明显异常，买入时点与内幕信息所涉及事项的进展情况大体一致，当事人关于交易理由的解释可信度</w:t>
      </w:r>
      <w:proofErr w:type="gramStart"/>
      <w:r w:rsidRPr="00F95512">
        <w:rPr>
          <w:rFonts w:ascii="方正仿宋简体" w:eastAsia="方正仿宋简体" w:hAnsi="楷体" w:cs="宋体" w:hint="eastAsia"/>
          <w:color w:val="000000"/>
          <w:kern w:val="0"/>
          <w:szCs w:val="21"/>
        </w:rPr>
        <w:t>不</w:t>
      </w:r>
      <w:proofErr w:type="gramEnd"/>
      <w:r w:rsidRPr="00F95512">
        <w:rPr>
          <w:rFonts w:ascii="方正仿宋简体" w:eastAsia="方正仿宋简体" w:hAnsi="楷体" w:cs="宋体" w:hint="eastAsia"/>
          <w:color w:val="000000"/>
          <w:kern w:val="0"/>
          <w:szCs w:val="21"/>
        </w:rPr>
        <w:t>高等情况，认定方振颖泄露内幕信息，方振韶从方振颖处获知内幕信息后实施了内幕交易。方振颖、方振韶的行为，违反了《证券法》第七十三条、第七十六条的规定，构成了《证券法》第二百零二条所述内幕交易行为。</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根据当事人违法行为的事实、性质、情节与社会危害程度，依据《证券法》第二百零二条的规定，我会决定：对方振颖、方振韶分别处以</w:t>
      </w:r>
      <w:r w:rsidRPr="00F95512">
        <w:rPr>
          <w:rFonts w:ascii="Times New Roman" w:eastAsia="方正仿宋简体" w:hAnsi="Times New Roman" w:cs="Times New Roman" w:hint="eastAsia"/>
          <w:color w:val="000000"/>
          <w:kern w:val="0"/>
          <w:szCs w:val="21"/>
        </w:rPr>
        <w:t>3</w:t>
      </w:r>
      <w:r w:rsidRPr="00F95512">
        <w:rPr>
          <w:rFonts w:ascii="方正仿宋简体" w:eastAsia="方正仿宋简体" w:hAnsi="楷体" w:cs="宋体" w:hint="eastAsia"/>
          <w:color w:val="000000"/>
          <w:kern w:val="0"/>
          <w:szCs w:val="21"/>
        </w:rPr>
        <w:t>万元罚款。</w:t>
      </w:r>
    </w:p>
    <w:p w:rsidR="00F95512" w:rsidRPr="00F95512" w:rsidRDefault="00F95512" w:rsidP="00F95512">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上述当事人应自收到本处罚决定书之日起</w:t>
      </w:r>
      <w:r w:rsidRPr="00F95512">
        <w:rPr>
          <w:rFonts w:ascii="Times New Roman" w:eastAsia="方正仿宋简体" w:hAnsi="Times New Roman" w:cs="Times New Roman" w:hint="eastAsia"/>
          <w:color w:val="000000"/>
          <w:kern w:val="0"/>
          <w:szCs w:val="21"/>
        </w:rPr>
        <w:t>15</w:t>
      </w:r>
      <w:r w:rsidRPr="00F95512">
        <w:rPr>
          <w:rFonts w:ascii="方正仿宋简体" w:eastAsia="方正仿宋简体" w:hAnsi="楷体" w:cs="宋体" w:hint="eastAsia"/>
          <w:color w:val="000000"/>
          <w:kern w:val="0"/>
          <w:szCs w:val="21"/>
        </w:rPr>
        <w:t>日内，将罚款汇交中国证券监督管理委员会（开户银行：中信银行总行营业部，账号：</w:t>
      </w:r>
      <w:r w:rsidRPr="00F95512">
        <w:rPr>
          <w:rFonts w:ascii="Times New Roman" w:eastAsia="方正仿宋简体" w:hAnsi="Times New Roman" w:cs="Times New Roman" w:hint="eastAsia"/>
          <w:color w:val="000000"/>
          <w:kern w:val="0"/>
          <w:szCs w:val="21"/>
        </w:rPr>
        <w:t>7111010189800000162</w:t>
      </w:r>
      <w:r w:rsidRPr="00F95512">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F95512">
        <w:rPr>
          <w:rFonts w:ascii="Times New Roman" w:eastAsia="方正仿宋简体" w:hAnsi="Times New Roman" w:cs="Times New Roman" w:hint="eastAsia"/>
          <w:color w:val="000000"/>
          <w:kern w:val="0"/>
          <w:szCs w:val="21"/>
        </w:rPr>
        <w:t>60</w:t>
      </w:r>
      <w:r w:rsidRPr="00F95512">
        <w:rPr>
          <w:rFonts w:ascii="方正仿宋简体" w:eastAsia="方正仿宋简体" w:hAnsi="楷体" w:cs="宋体" w:hint="eastAsia"/>
          <w:color w:val="000000"/>
          <w:kern w:val="0"/>
          <w:szCs w:val="21"/>
        </w:rPr>
        <w:t>日内向中国证券监督管理委员会申请行政复议，也可在收到本处罚决定书之日起</w:t>
      </w:r>
      <w:r w:rsidRPr="00F95512">
        <w:rPr>
          <w:rFonts w:ascii="Times New Roman" w:eastAsia="方正仿宋简体" w:hAnsi="Times New Roman" w:cs="Times New Roman" w:hint="eastAsia"/>
          <w:color w:val="000000"/>
          <w:kern w:val="0"/>
          <w:szCs w:val="21"/>
        </w:rPr>
        <w:t>3</w:t>
      </w:r>
      <w:r w:rsidRPr="00F95512">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F95512" w:rsidRPr="00F95512" w:rsidRDefault="00F95512" w:rsidP="00F955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5512">
        <w:rPr>
          <w:rFonts w:ascii="Calibri" w:eastAsia="楷体" w:hAnsi="Calibri" w:cs="Calibri"/>
          <w:color w:val="000000"/>
          <w:kern w:val="0"/>
          <w:sz w:val="24"/>
          <w:szCs w:val="24"/>
        </w:rPr>
        <w:lastRenderedPageBreak/>
        <w:t> </w:t>
      </w:r>
    </w:p>
    <w:p w:rsidR="00F95512" w:rsidRPr="00F95512" w:rsidRDefault="00F95512" w:rsidP="00F955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5512">
        <w:rPr>
          <w:rFonts w:ascii="Calibri" w:eastAsia="楷体" w:hAnsi="Calibri" w:cs="Calibri"/>
          <w:color w:val="000000"/>
          <w:kern w:val="0"/>
          <w:sz w:val="24"/>
          <w:szCs w:val="24"/>
        </w:rPr>
        <w:t> </w:t>
      </w:r>
    </w:p>
    <w:p w:rsidR="00F95512" w:rsidRPr="00F95512" w:rsidRDefault="00F95512" w:rsidP="00F955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5512">
        <w:rPr>
          <w:rFonts w:ascii="Calibri" w:eastAsia="楷体" w:hAnsi="Calibri" w:cs="Calibri"/>
          <w:color w:val="000000"/>
          <w:kern w:val="0"/>
          <w:sz w:val="24"/>
          <w:szCs w:val="24"/>
        </w:rPr>
        <w:t> </w:t>
      </w:r>
    </w:p>
    <w:p w:rsidR="00F95512" w:rsidRPr="00F95512" w:rsidRDefault="00F95512" w:rsidP="00F955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5512">
        <w:rPr>
          <w:rFonts w:ascii="Calibri" w:eastAsia="楷体" w:hAnsi="Calibri" w:cs="Calibri"/>
          <w:color w:val="000000"/>
          <w:kern w:val="0"/>
          <w:sz w:val="24"/>
          <w:szCs w:val="24"/>
        </w:rPr>
        <w:t> </w:t>
      </w:r>
    </w:p>
    <w:p w:rsidR="00F95512" w:rsidRPr="00F95512" w:rsidRDefault="00F95512" w:rsidP="00F955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 xml:space="preserve">中国证监会　</w:t>
      </w:r>
    </w:p>
    <w:p w:rsidR="00F95512" w:rsidRPr="00F95512" w:rsidRDefault="00F95512" w:rsidP="00F95512">
      <w:pPr>
        <w:widowControl/>
        <w:shd w:val="clear" w:color="auto" w:fill="FFFFFF"/>
        <w:wordWrap w:val="0"/>
        <w:spacing w:line="360" w:lineRule="atLeast"/>
        <w:jc w:val="right"/>
        <w:rPr>
          <w:rFonts w:ascii="楷体" w:eastAsia="楷体" w:hAnsi="楷体" w:cs="宋体" w:hint="eastAsia"/>
          <w:color w:val="000000"/>
          <w:kern w:val="0"/>
          <w:sz w:val="24"/>
          <w:szCs w:val="24"/>
        </w:rPr>
      </w:pPr>
      <w:r w:rsidRPr="00F95512">
        <w:rPr>
          <w:rFonts w:ascii="方正仿宋简体" w:eastAsia="方正仿宋简体" w:hAnsi="楷体" w:cs="宋体" w:hint="eastAsia"/>
          <w:color w:val="000000"/>
          <w:kern w:val="0"/>
          <w:szCs w:val="21"/>
        </w:rPr>
        <w:t>2013年</w:t>
      </w:r>
      <w:r w:rsidRPr="00F95512">
        <w:rPr>
          <w:rFonts w:ascii="Times New Roman" w:eastAsia="方正仿宋简体" w:hAnsi="Times New Roman" w:cs="Times New Roman" w:hint="eastAsia"/>
          <w:color w:val="000000"/>
          <w:kern w:val="0"/>
          <w:szCs w:val="21"/>
        </w:rPr>
        <w:t>10</w:t>
      </w:r>
      <w:r w:rsidRPr="00F95512">
        <w:rPr>
          <w:rFonts w:ascii="方正仿宋简体" w:eastAsia="方正仿宋简体" w:hAnsi="楷体" w:cs="宋体" w:hint="eastAsia"/>
          <w:color w:val="000000"/>
          <w:kern w:val="0"/>
          <w:szCs w:val="21"/>
        </w:rPr>
        <w:t>月</w:t>
      </w:r>
      <w:r w:rsidRPr="00F95512">
        <w:rPr>
          <w:rFonts w:ascii="Times New Roman" w:eastAsia="方正仿宋简体" w:hAnsi="Times New Roman" w:cs="Times New Roman" w:hint="eastAsia"/>
          <w:color w:val="000000"/>
          <w:kern w:val="0"/>
          <w:szCs w:val="21"/>
        </w:rPr>
        <w:t>22</w:t>
      </w:r>
      <w:r w:rsidRPr="00F95512">
        <w:rPr>
          <w:rFonts w:ascii="方正仿宋简体" w:eastAsia="方正仿宋简体" w:hAnsi="楷体" w:cs="宋体" w:hint="eastAsia"/>
          <w:color w:val="000000"/>
          <w:kern w:val="0"/>
          <w:szCs w:val="21"/>
        </w:rPr>
        <w:t>日</w:t>
      </w:r>
    </w:p>
    <w:p w:rsidR="00F95512" w:rsidRPr="00F95512" w:rsidRDefault="00F95512" w:rsidP="00F95512">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F95512" w:rsidRPr="00F95512" w:rsidTr="00F95512">
        <w:trPr>
          <w:tblCellSpacing w:w="15" w:type="dxa"/>
          <w:jc w:val="center"/>
        </w:trPr>
        <w:tc>
          <w:tcPr>
            <w:tcW w:w="900" w:type="dxa"/>
            <w:vAlign w:val="center"/>
            <w:hideMark/>
          </w:tcPr>
          <w:p w:rsidR="00F95512" w:rsidRPr="00F95512" w:rsidRDefault="00F95512" w:rsidP="00F95512">
            <w:pPr>
              <w:widowControl/>
              <w:jc w:val="left"/>
              <w:rPr>
                <w:rFonts w:ascii="宋体" w:eastAsia="宋体" w:hAnsi="宋体" w:cs="宋体" w:hint="eastAsia"/>
                <w:kern w:val="0"/>
                <w:sz w:val="18"/>
                <w:szCs w:val="18"/>
              </w:rPr>
            </w:pPr>
            <w:r w:rsidRPr="00F95512">
              <w:rPr>
                <w:rFonts w:ascii="宋体" w:eastAsia="宋体" w:hAnsi="宋体" w:cs="宋体"/>
                <w:kern w:val="0"/>
                <w:sz w:val="18"/>
                <w:szCs w:val="18"/>
              </w:rPr>
              <w:t> </w:t>
            </w:r>
          </w:p>
        </w:tc>
        <w:tc>
          <w:tcPr>
            <w:tcW w:w="1200" w:type="dxa"/>
            <w:vAlign w:val="center"/>
            <w:hideMark/>
          </w:tcPr>
          <w:p w:rsidR="00F95512" w:rsidRPr="00F95512" w:rsidRDefault="00F95512" w:rsidP="00F95512">
            <w:pPr>
              <w:widowControl/>
              <w:jc w:val="left"/>
              <w:rPr>
                <w:rFonts w:ascii="宋体" w:eastAsia="宋体" w:hAnsi="宋体" w:cs="宋体"/>
                <w:kern w:val="0"/>
                <w:sz w:val="18"/>
                <w:szCs w:val="18"/>
              </w:rPr>
            </w:pPr>
            <w:r w:rsidRPr="00F95512">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95512" w:rsidRPr="00F95512" w:rsidRDefault="00F95512" w:rsidP="00F95512">
            <w:pPr>
              <w:widowControl/>
              <w:jc w:val="left"/>
              <w:rPr>
                <w:rFonts w:ascii="宋体" w:eastAsia="宋体" w:hAnsi="宋体" w:cs="宋体"/>
                <w:kern w:val="0"/>
                <w:sz w:val="18"/>
                <w:szCs w:val="18"/>
              </w:rPr>
            </w:pPr>
            <w:r w:rsidRPr="00F95512">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F95512" w:rsidRPr="00F95512" w:rsidRDefault="00F95512" w:rsidP="00F95512">
            <w:pPr>
              <w:widowControl/>
              <w:jc w:val="left"/>
              <w:rPr>
                <w:rFonts w:ascii="宋体" w:eastAsia="宋体" w:hAnsi="宋体" w:cs="宋体"/>
                <w:kern w:val="0"/>
                <w:sz w:val="18"/>
                <w:szCs w:val="18"/>
              </w:rPr>
            </w:pPr>
            <w:r w:rsidRPr="00F95512">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F95512" w:rsidRPr="00F95512" w:rsidRDefault="00F95512" w:rsidP="00F95512">
      <w:pPr>
        <w:widowControl/>
        <w:jc w:val="center"/>
        <w:rPr>
          <w:rFonts w:ascii="微软雅黑" w:eastAsia="微软雅黑" w:hAnsi="微软雅黑" w:cs="宋体"/>
          <w:color w:val="515151"/>
          <w:kern w:val="0"/>
          <w:sz w:val="18"/>
          <w:szCs w:val="18"/>
        </w:rPr>
      </w:pPr>
      <w:hyperlink r:id="rId11" w:tgtFrame="_blank" w:history="1">
        <w:r w:rsidRPr="00F95512">
          <w:rPr>
            <w:rFonts w:ascii="微软雅黑" w:eastAsia="微软雅黑" w:hAnsi="微软雅黑" w:cs="宋体" w:hint="eastAsia"/>
            <w:color w:val="0000FF"/>
            <w:kern w:val="0"/>
            <w:sz w:val="18"/>
            <w:szCs w:val="18"/>
            <w:u w:val="single"/>
          </w:rPr>
          <w:t>关于我们</w:t>
        </w:r>
      </w:hyperlink>
      <w:r w:rsidRPr="00F95512">
        <w:rPr>
          <w:rFonts w:ascii="微软雅黑" w:eastAsia="微软雅黑" w:hAnsi="微软雅黑" w:cs="宋体" w:hint="eastAsia"/>
          <w:color w:val="515151"/>
          <w:kern w:val="0"/>
          <w:sz w:val="18"/>
          <w:szCs w:val="18"/>
        </w:rPr>
        <w:t> - </w:t>
      </w:r>
      <w:hyperlink r:id="rId12" w:tgtFrame="_blank" w:history="1">
        <w:r w:rsidRPr="00F95512">
          <w:rPr>
            <w:rFonts w:ascii="微软雅黑" w:eastAsia="微软雅黑" w:hAnsi="微软雅黑" w:cs="宋体" w:hint="eastAsia"/>
            <w:color w:val="0000FF"/>
            <w:kern w:val="0"/>
            <w:sz w:val="18"/>
            <w:szCs w:val="18"/>
            <w:u w:val="single"/>
          </w:rPr>
          <w:t>法律声明</w:t>
        </w:r>
      </w:hyperlink>
      <w:r w:rsidRPr="00F95512">
        <w:rPr>
          <w:rFonts w:ascii="微软雅黑" w:eastAsia="微软雅黑" w:hAnsi="微软雅黑" w:cs="宋体" w:hint="eastAsia"/>
          <w:color w:val="515151"/>
          <w:kern w:val="0"/>
          <w:sz w:val="18"/>
          <w:szCs w:val="18"/>
        </w:rPr>
        <w:t> - </w:t>
      </w:r>
      <w:hyperlink r:id="rId13" w:tgtFrame="_blank" w:history="1">
        <w:r w:rsidRPr="00F95512">
          <w:rPr>
            <w:rFonts w:ascii="微软雅黑" w:eastAsia="微软雅黑" w:hAnsi="微软雅黑" w:cs="宋体" w:hint="eastAsia"/>
            <w:color w:val="0000FF"/>
            <w:kern w:val="0"/>
            <w:sz w:val="18"/>
            <w:szCs w:val="18"/>
            <w:u w:val="single"/>
          </w:rPr>
          <w:t>联系我们</w:t>
        </w:r>
      </w:hyperlink>
    </w:p>
    <w:p w:rsidR="00F95512" w:rsidRPr="00F95512" w:rsidRDefault="00F95512" w:rsidP="00F95512">
      <w:pPr>
        <w:widowControl/>
        <w:jc w:val="center"/>
        <w:rPr>
          <w:rFonts w:ascii="微软雅黑" w:eastAsia="微软雅黑" w:hAnsi="微软雅黑" w:cs="宋体" w:hint="eastAsia"/>
          <w:color w:val="515151"/>
          <w:kern w:val="0"/>
          <w:sz w:val="18"/>
          <w:szCs w:val="18"/>
        </w:rPr>
      </w:pPr>
      <w:r w:rsidRPr="00F95512">
        <w:rPr>
          <w:rFonts w:ascii="微软雅黑" w:eastAsia="微软雅黑" w:hAnsi="微软雅黑" w:cs="宋体" w:hint="eastAsia"/>
          <w:color w:val="515151"/>
          <w:kern w:val="0"/>
          <w:sz w:val="18"/>
          <w:szCs w:val="18"/>
        </w:rPr>
        <w:t>版权所有：中国证券监督管理委员会 京ICP备 05035542号</w:t>
      </w:r>
    </w:p>
    <w:p w:rsidR="00F95512" w:rsidRPr="00F95512" w:rsidRDefault="00F95512" w:rsidP="00F95512">
      <w:pPr>
        <w:widowControl/>
        <w:jc w:val="center"/>
        <w:rPr>
          <w:rFonts w:ascii="微软雅黑" w:eastAsia="微软雅黑" w:hAnsi="微软雅黑" w:cs="宋体" w:hint="eastAsia"/>
          <w:color w:val="515151"/>
          <w:kern w:val="0"/>
          <w:sz w:val="18"/>
          <w:szCs w:val="18"/>
        </w:rPr>
      </w:pPr>
      <w:r w:rsidRPr="00F95512">
        <w:rPr>
          <w:rFonts w:ascii="微软雅黑" w:eastAsia="微软雅黑" w:hAnsi="微软雅黑" w:cs="宋体" w:hint="eastAsia"/>
          <w:color w:val="515151"/>
          <w:kern w:val="0"/>
          <w:sz w:val="18"/>
          <w:szCs w:val="18"/>
        </w:rPr>
        <w:t>地址：北京市西城区金融大街19号富凯大厦A座 邮编：100033</w:t>
      </w:r>
    </w:p>
    <w:p w:rsidR="00F95512" w:rsidRPr="00F95512" w:rsidRDefault="00F95512" w:rsidP="00F95512">
      <w:pPr>
        <w:widowControl/>
        <w:jc w:val="center"/>
        <w:rPr>
          <w:rFonts w:ascii="微软雅黑" w:eastAsia="微软雅黑" w:hAnsi="微软雅黑" w:cs="宋体" w:hint="eastAsia"/>
          <w:color w:val="515151"/>
          <w:kern w:val="0"/>
          <w:sz w:val="18"/>
          <w:szCs w:val="18"/>
        </w:rPr>
      </w:pPr>
      <w:r w:rsidRPr="00F95512">
        <w:rPr>
          <w:rFonts w:ascii="微软雅黑" w:eastAsia="微软雅黑" w:hAnsi="微软雅黑" w:cs="宋体" w:hint="eastAsia"/>
          <w:color w:val="515151"/>
          <w:kern w:val="0"/>
          <w:sz w:val="18"/>
          <w:szCs w:val="18"/>
        </w:rPr>
        <w:t>建议使用IE5.5以上浏览器，分辨率1024*768</w:t>
      </w:r>
    </w:p>
    <w:p w:rsidR="005E7404" w:rsidRPr="00F95512" w:rsidRDefault="005E7404"/>
    <w:sectPr w:rsidR="005E7404" w:rsidRPr="00F95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12"/>
    <w:rsid w:val="005E7404"/>
    <w:rsid w:val="00F95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F22A4-9D86-4805-9780-5F3FCCD7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551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95512"/>
    <w:rPr>
      <w:b/>
      <w:bCs/>
    </w:rPr>
  </w:style>
  <w:style w:type="paragraph" w:customStyle="1" w:styleId="p0">
    <w:name w:val="p0"/>
    <w:basedOn w:val="a"/>
    <w:rsid w:val="00F95512"/>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F95512"/>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F9551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95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0463">
      <w:bodyDiv w:val="1"/>
      <w:marLeft w:val="0"/>
      <w:marRight w:val="0"/>
      <w:marTop w:val="0"/>
      <w:marBottom w:val="0"/>
      <w:divBdr>
        <w:top w:val="none" w:sz="0" w:space="0" w:color="auto"/>
        <w:left w:val="none" w:sz="0" w:space="0" w:color="auto"/>
        <w:bottom w:val="none" w:sz="0" w:space="0" w:color="auto"/>
        <w:right w:val="none" w:sz="0" w:space="0" w:color="auto"/>
      </w:divBdr>
      <w:divsChild>
        <w:div w:id="1945846317">
          <w:marLeft w:val="0"/>
          <w:marRight w:val="0"/>
          <w:marTop w:val="150"/>
          <w:marBottom w:val="150"/>
          <w:divBdr>
            <w:top w:val="none" w:sz="0" w:space="0" w:color="auto"/>
            <w:left w:val="none" w:sz="0" w:space="0" w:color="auto"/>
            <w:bottom w:val="none" w:sz="0" w:space="0" w:color="auto"/>
            <w:right w:val="none" w:sz="0" w:space="0" w:color="auto"/>
          </w:divBdr>
        </w:div>
        <w:div w:id="1105274165">
          <w:marLeft w:val="0"/>
          <w:marRight w:val="0"/>
          <w:marTop w:val="0"/>
          <w:marBottom w:val="0"/>
          <w:divBdr>
            <w:top w:val="single" w:sz="6" w:space="8" w:color="B5B5B5"/>
            <w:left w:val="single" w:sz="6" w:space="0" w:color="B5B5B5"/>
            <w:bottom w:val="single" w:sz="6" w:space="8" w:color="B5B5B5"/>
            <w:right w:val="single" w:sz="6" w:space="0" w:color="B5B5B5"/>
          </w:divBdr>
          <w:divsChild>
            <w:div w:id="1289555929">
              <w:marLeft w:val="0"/>
              <w:marRight w:val="0"/>
              <w:marTop w:val="0"/>
              <w:marBottom w:val="0"/>
              <w:divBdr>
                <w:top w:val="none" w:sz="0" w:space="0" w:color="auto"/>
                <w:left w:val="none" w:sz="0" w:space="0" w:color="auto"/>
                <w:bottom w:val="none" w:sz="0" w:space="0" w:color="auto"/>
                <w:right w:val="none" w:sz="0" w:space="0" w:color="auto"/>
              </w:divBdr>
            </w:div>
            <w:div w:id="362175055">
              <w:marLeft w:val="0"/>
              <w:marRight w:val="0"/>
              <w:marTop w:val="0"/>
              <w:marBottom w:val="0"/>
              <w:divBdr>
                <w:top w:val="none" w:sz="0" w:space="0" w:color="auto"/>
                <w:left w:val="none" w:sz="0" w:space="0" w:color="auto"/>
                <w:bottom w:val="none" w:sz="0" w:space="0" w:color="auto"/>
                <w:right w:val="none" w:sz="0" w:space="0" w:color="auto"/>
              </w:divBdr>
            </w:div>
            <w:div w:id="1972397648">
              <w:marLeft w:val="0"/>
              <w:marRight w:val="0"/>
              <w:marTop w:val="120"/>
              <w:marBottom w:val="120"/>
              <w:divBdr>
                <w:top w:val="none" w:sz="0" w:space="0" w:color="auto"/>
                <w:left w:val="none" w:sz="0" w:space="0" w:color="auto"/>
                <w:bottom w:val="none" w:sz="0" w:space="0" w:color="auto"/>
                <w:right w:val="none" w:sz="0" w:space="0" w:color="auto"/>
              </w:divBdr>
            </w:div>
          </w:divsChild>
        </w:div>
        <w:div w:id="1339691823">
          <w:marLeft w:val="0"/>
          <w:marRight w:val="0"/>
          <w:marTop w:val="120"/>
          <w:marBottom w:val="0"/>
          <w:divBdr>
            <w:top w:val="none" w:sz="0" w:space="0" w:color="auto"/>
            <w:left w:val="none" w:sz="0" w:space="0" w:color="auto"/>
            <w:bottom w:val="none" w:sz="0" w:space="0" w:color="auto"/>
            <w:right w:val="none" w:sz="0" w:space="0" w:color="auto"/>
          </w:divBdr>
          <w:divsChild>
            <w:div w:id="9377444">
              <w:marLeft w:val="0"/>
              <w:marRight w:val="0"/>
              <w:marTop w:val="60"/>
              <w:marBottom w:val="0"/>
              <w:divBdr>
                <w:top w:val="none" w:sz="0" w:space="0" w:color="auto"/>
                <w:left w:val="none" w:sz="0" w:space="0" w:color="auto"/>
                <w:bottom w:val="none" w:sz="0" w:space="0" w:color="auto"/>
                <w:right w:val="none" w:sz="0" w:space="0" w:color="auto"/>
              </w:divBdr>
            </w:div>
            <w:div w:id="262955657">
              <w:marLeft w:val="0"/>
              <w:marRight w:val="0"/>
              <w:marTop w:val="60"/>
              <w:marBottom w:val="0"/>
              <w:divBdr>
                <w:top w:val="none" w:sz="0" w:space="0" w:color="auto"/>
                <w:left w:val="none" w:sz="0" w:space="0" w:color="auto"/>
                <w:bottom w:val="none" w:sz="0" w:space="0" w:color="auto"/>
                <w:right w:val="none" w:sz="0" w:space="0" w:color="auto"/>
              </w:divBdr>
            </w:div>
            <w:div w:id="1394353985">
              <w:marLeft w:val="0"/>
              <w:marRight w:val="0"/>
              <w:marTop w:val="60"/>
              <w:marBottom w:val="0"/>
              <w:divBdr>
                <w:top w:val="none" w:sz="0" w:space="0" w:color="auto"/>
                <w:left w:val="none" w:sz="0" w:space="0" w:color="auto"/>
                <w:bottom w:val="none" w:sz="0" w:space="0" w:color="auto"/>
                <w:right w:val="none" w:sz="0" w:space="0" w:color="auto"/>
              </w:divBdr>
            </w:div>
            <w:div w:id="179078378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2/t20131206_23943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2020-02-19T14:13:00Z</dcterms:created>
  <dcterms:modified xsi:type="dcterms:W3CDTF">2020-02-19T14:13:00Z</dcterms:modified>
</cp:coreProperties>
</file>