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4C9C" w:rsidRPr="00654C9C" w:rsidRDefault="00654C9C" w:rsidP="00654C9C">
      <w:pPr>
        <w:widowControl/>
        <w:jc w:val="center"/>
        <w:rPr>
          <w:rFonts w:ascii="微软雅黑" w:eastAsia="微软雅黑" w:hAnsi="微软雅黑" w:cs="宋体"/>
          <w:color w:val="000000"/>
          <w:kern w:val="0"/>
          <w:sz w:val="18"/>
          <w:szCs w:val="18"/>
        </w:rPr>
      </w:pPr>
      <w:r w:rsidRPr="00654C9C">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654C9C" w:rsidRPr="00654C9C" w:rsidTr="00654C9C">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654C9C" w:rsidRPr="00654C9C">
              <w:trPr>
                <w:tblCellSpacing w:w="0" w:type="dxa"/>
              </w:trPr>
              <w:tc>
                <w:tcPr>
                  <w:tcW w:w="2500" w:type="pct"/>
                  <w:tcMar>
                    <w:top w:w="30" w:type="dxa"/>
                    <w:left w:w="30" w:type="dxa"/>
                    <w:bottom w:w="30" w:type="dxa"/>
                    <w:right w:w="30" w:type="dxa"/>
                  </w:tcMar>
                  <w:hideMark/>
                </w:tcPr>
                <w:p w:rsidR="00654C9C" w:rsidRPr="00654C9C" w:rsidRDefault="00654C9C" w:rsidP="00654C9C">
                  <w:pPr>
                    <w:widowControl/>
                    <w:jc w:val="left"/>
                    <w:rPr>
                      <w:rFonts w:ascii="宋体" w:eastAsia="宋体" w:hAnsi="宋体" w:cs="宋体" w:hint="eastAsia"/>
                      <w:color w:val="686868"/>
                      <w:kern w:val="0"/>
                      <w:sz w:val="18"/>
                      <w:szCs w:val="18"/>
                    </w:rPr>
                  </w:pPr>
                  <w:r w:rsidRPr="00654C9C">
                    <w:rPr>
                      <w:rFonts w:ascii="宋体" w:eastAsia="宋体" w:hAnsi="宋体" w:cs="宋体"/>
                      <w:b/>
                      <w:bCs/>
                      <w:color w:val="686868"/>
                      <w:kern w:val="0"/>
                      <w:sz w:val="18"/>
                      <w:szCs w:val="18"/>
                    </w:rPr>
                    <w:t>索 引 号:</w:t>
                  </w:r>
                  <w:r w:rsidRPr="00654C9C">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654C9C" w:rsidRPr="00654C9C" w:rsidRDefault="00654C9C" w:rsidP="00654C9C">
                  <w:pPr>
                    <w:widowControl/>
                    <w:jc w:val="left"/>
                    <w:rPr>
                      <w:rFonts w:ascii="宋体" w:eastAsia="宋体" w:hAnsi="宋体" w:cs="宋体"/>
                      <w:color w:val="686868"/>
                      <w:kern w:val="0"/>
                      <w:sz w:val="18"/>
                      <w:szCs w:val="18"/>
                    </w:rPr>
                  </w:pPr>
                  <w:r w:rsidRPr="00654C9C">
                    <w:rPr>
                      <w:rFonts w:ascii="宋体" w:eastAsia="宋体" w:hAnsi="宋体" w:cs="宋体"/>
                      <w:b/>
                      <w:bCs/>
                      <w:color w:val="686868"/>
                      <w:kern w:val="0"/>
                      <w:sz w:val="18"/>
                      <w:szCs w:val="18"/>
                    </w:rPr>
                    <w:t>分类:</w:t>
                  </w:r>
                  <w:r w:rsidRPr="00654C9C">
                    <w:rPr>
                      <w:rFonts w:ascii="宋体" w:eastAsia="宋体" w:hAnsi="宋体" w:cs="宋体"/>
                      <w:color w:val="686868"/>
                      <w:kern w:val="0"/>
                      <w:sz w:val="18"/>
                      <w:szCs w:val="18"/>
                    </w:rPr>
                    <w:t> 行政处罚 ; 行政处罚决定</w:t>
                  </w:r>
                </w:p>
              </w:tc>
            </w:tr>
          </w:tbl>
          <w:p w:rsidR="00654C9C" w:rsidRPr="00654C9C" w:rsidRDefault="00654C9C" w:rsidP="00654C9C">
            <w:pPr>
              <w:widowControl/>
              <w:jc w:val="left"/>
              <w:rPr>
                <w:rFonts w:ascii="宋体" w:eastAsia="宋体" w:hAnsi="宋体" w:cs="宋体"/>
                <w:color w:val="686868"/>
                <w:kern w:val="0"/>
                <w:sz w:val="18"/>
                <w:szCs w:val="18"/>
              </w:rPr>
            </w:pPr>
          </w:p>
        </w:tc>
      </w:tr>
      <w:tr w:rsidR="00654C9C" w:rsidRPr="00654C9C" w:rsidTr="00654C9C">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654C9C" w:rsidRPr="00654C9C">
              <w:trPr>
                <w:tblCellSpacing w:w="0" w:type="dxa"/>
              </w:trPr>
              <w:tc>
                <w:tcPr>
                  <w:tcW w:w="2500" w:type="pct"/>
                  <w:tcMar>
                    <w:top w:w="30" w:type="dxa"/>
                    <w:left w:w="30" w:type="dxa"/>
                    <w:bottom w:w="30" w:type="dxa"/>
                    <w:right w:w="30" w:type="dxa"/>
                  </w:tcMar>
                  <w:hideMark/>
                </w:tcPr>
                <w:p w:rsidR="00654C9C" w:rsidRPr="00654C9C" w:rsidRDefault="00654C9C" w:rsidP="00654C9C">
                  <w:pPr>
                    <w:widowControl/>
                    <w:jc w:val="left"/>
                    <w:rPr>
                      <w:rFonts w:ascii="宋体" w:eastAsia="宋体" w:hAnsi="宋体" w:cs="宋体"/>
                      <w:color w:val="686868"/>
                      <w:kern w:val="0"/>
                      <w:sz w:val="18"/>
                      <w:szCs w:val="18"/>
                    </w:rPr>
                  </w:pPr>
                  <w:r w:rsidRPr="00654C9C">
                    <w:rPr>
                      <w:rFonts w:ascii="宋体" w:eastAsia="宋体" w:hAnsi="宋体" w:cs="宋体"/>
                      <w:b/>
                      <w:bCs/>
                      <w:color w:val="686868"/>
                      <w:kern w:val="0"/>
                      <w:sz w:val="18"/>
                      <w:szCs w:val="18"/>
                    </w:rPr>
                    <w:t>发布机构:</w:t>
                  </w:r>
                  <w:r w:rsidRPr="00654C9C">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654C9C" w:rsidRPr="00654C9C" w:rsidRDefault="00654C9C" w:rsidP="00654C9C">
                  <w:pPr>
                    <w:widowControl/>
                    <w:jc w:val="left"/>
                    <w:rPr>
                      <w:rFonts w:ascii="宋体" w:eastAsia="宋体" w:hAnsi="宋体" w:cs="宋体"/>
                      <w:color w:val="686868"/>
                      <w:kern w:val="0"/>
                      <w:sz w:val="18"/>
                      <w:szCs w:val="18"/>
                    </w:rPr>
                  </w:pPr>
                  <w:r w:rsidRPr="00654C9C">
                    <w:rPr>
                      <w:rFonts w:ascii="宋体" w:eastAsia="宋体" w:hAnsi="宋体" w:cs="宋体"/>
                      <w:b/>
                      <w:bCs/>
                      <w:color w:val="686868"/>
                      <w:kern w:val="0"/>
                      <w:sz w:val="18"/>
                      <w:szCs w:val="18"/>
                    </w:rPr>
                    <w:t>发文日期:</w:t>
                  </w:r>
                  <w:r w:rsidRPr="00654C9C">
                    <w:rPr>
                      <w:rFonts w:ascii="宋体" w:eastAsia="宋体" w:hAnsi="宋体" w:cs="宋体"/>
                      <w:color w:val="686868"/>
                      <w:kern w:val="0"/>
                      <w:sz w:val="18"/>
                      <w:szCs w:val="18"/>
                    </w:rPr>
                    <w:t> 2013年11月28日</w:t>
                  </w:r>
                </w:p>
              </w:tc>
            </w:tr>
          </w:tbl>
          <w:p w:rsidR="00654C9C" w:rsidRPr="00654C9C" w:rsidRDefault="00654C9C" w:rsidP="00654C9C">
            <w:pPr>
              <w:widowControl/>
              <w:jc w:val="left"/>
              <w:rPr>
                <w:rFonts w:ascii="宋体" w:eastAsia="宋体" w:hAnsi="宋体" w:cs="宋体"/>
                <w:color w:val="686868"/>
                <w:kern w:val="0"/>
                <w:sz w:val="18"/>
                <w:szCs w:val="18"/>
              </w:rPr>
            </w:pPr>
          </w:p>
        </w:tc>
      </w:tr>
      <w:tr w:rsidR="00654C9C" w:rsidRPr="00654C9C" w:rsidTr="00654C9C">
        <w:trPr>
          <w:tblCellSpacing w:w="0" w:type="dxa"/>
          <w:jc w:val="center"/>
        </w:trPr>
        <w:tc>
          <w:tcPr>
            <w:tcW w:w="0" w:type="auto"/>
            <w:tcMar>
              <w:top w:w="30" w:type="dxa"/>
              <w:left w:w="30" w:type="dxa"/>
              <w:bottom w:w="30" w:type="dxa"/>
              <w:right w:w="30" w:type="dxa"/>
            </w:tcMar>
            <w:hideMark/>
          </w:tcPr>
          <w:p w:rsidR="00654C9C" w:rsidRPr="00654C9C" w:rsidRDefault="00654C9C" w:rsidP="00654C9C">
            <w:pPr>
              <w:widowControl/>
              <w:jc w:val="left"/>
              <w:rPr>
                <w:rFonts w:ascii="宋体" w:eastAsia="宋体" w:hAnsi="宋体" w:cs="宋体"/>
                <w:color w:val="686868"/>
                <w:kern w:val="0"/>
                <w:sz w:val="18"/>
                <w:szCs w:val="18"/>
              </w:rPr>
            </w:pPr>
            <w:r w:rsidRPr="00654C9C">
              <w:rPr>
                <w:rFonts w:ascii="宋体" w:eastAsia="宋体" w:hAnsi="宋体" w:cs="宋体"/>
                <w:b/>
                <w:bCs/>
                <w:color w:val="686868"/>
                <w:kern w:val="0"/>
                <w:sz w:val="18"/>
                <w:szCs w:val="18"/>
              </w:rPr>
              <w:t>名　　称:</w:t>
            </w:r>
            <w:r w:rsidRPr="00654C9C">
              <w:rPr>
                <w:rFonts w:ascii="宋体" w:eastAsia="宋体" w:hAnsi="宋体" w:cs="宋体"/>
                <w:color w:val="686868"/>
                <w:kern w:val="0"/>
                <w:sz w:val="18"/>
                <w:szCs w:val="18"/>
              </w:rPr>
              <w:t> 中国证监会行政处罚决定书（杨国章）</w:t>
            </w:r>
          </w:p>
        </w:tc>
      </w:tr>
      <w:tr w:rsidR="00654C9C" w:rsidRPr="00654C9C" w:rsidTr="00654C9C">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654C9C" w:rsidRPr="00654C9C">
              <w:trPr>
                <w:tblCellSpacing w:w="0" w:type="dxa"/>
              </w:trPr>
              <w:tc>
                <w:tcPr>
                  <w:tcW w:w="2500" w:type="pct"/>
                  <w:tcMar>
                    <w:top w:w="30" w:type="dxa"/>
                    <w:left w:w="30" w:type="dxa"/>
                    <w:bottom w:w="30" w:type="dxa"/>
                    <w:right w:w="30" w:type="dxa"/>
                  </w:tcMar>
                  <w:hideMark/>
                </w:tcPr>
                <w:p w:rsidR="00654C9C" w:rsidRPr="00654C9C" w:rsidRDefault="00654C9C" w:rsidP="00654C9C">
                  <w:pPr>
                    <w:widowControl/>
                    <w:jc w:val="left"/>
                    <w:rPr>
                      <w:rFonts w:ascii="宋体" w:eastAsia="宋体" w:hAnsi="宋体" w:cs="宋体"/>
                      <w:color w:val="686868"/>
                      <w:kern w:val="0"/>
                      <w:sz w:val="18"/>
                      <w:szCs w:val="18"/>
                    </w:rPr>
                  </w:pPr>
                  <w:r w:rsidRPr="00654C9C">
                    <w:rPr>
                      <w:rFonts w:ascii="宋体" w:eastAsia="宋体" w:hAnsi="宋体" w:cs="宋体"/>
                      <w:b/>
                      <w:bCs/>
                      <w:color w:val="686868"/>
                      <w:kern w:val="0"/>
                      <w:sz w:val="18"/>
                      <w:szCs w:val="18"/>
                    </w:rPr>
                    <w:t>文　　号:</w:t>
                  </w:r>
                  <w:r w:rsidRPr="00654C9C">
                    <w:rPr>
                      <w:rFonts w:ascii="宋体" w:eastAsia="宋体" w:hAnsi="宋体" w:cs="宋体"/>
                      <w:color w:val="686868"/>
                      <w:kern w:val="0"/>
                      <w:sz w:val="18"/>
                      <w:szCs w:val="18"/>
                    </w:rPr>
                    <w:t> </w:t>
                  </w:r>
                  <w:bookmarkStart w:id="0" w:name="_GoBack"/>
                  <w:r w:rsidRPr="00654C9C">
                    <w:rPr>
                      <w:rFonts w:ascii="宋体" w:eastAsia="宋体" w:hAnsi="宋体" w:cs="宋体"/>
                      <w:color w:val="686868"/>
                      <w:kern w:val="0"/>
                      <w:sz w:val="18"/>
                      <w:szCs w:val="18"/>
                    </w:rPr>
                    <w:t>〔2013〕65号</w:t>
                  </w:r>
                  <w:bookmarkEnd w:id="0"/>
                </w:p>
              </w:tc>
              <w:tc>
                <w:tcPr>
                  <w:tcW w:w="0" w:type="auto"/>
                  <w:tcMar>
                    <w:top w:w="30" w:type="dxa"/>
                    <w:left w:w="30" w:type="dxa"/>
                    <w:bottom w:w="30" w:type="dxa"/>
                    <w:right w:w="30" w:type="dxa"/>
                  </w:tcMar>
                  <w:hideMark/>
                </w:tcPr>
                <w:p w:rsidR="00654C9C" w:rsidRPr="00654C9C" w:rsidRDefault="00654C9C" w:rsidP="00654C9C">
                  <w:pPr>
                    <w:widowControl/>
                    <w:jc w:val="left"/>
                    <w:rPr>
                      <w:rFonts w:ascii="宋体" w:eastAsia="宋体" w:hAnsi="宋体" w:cs="宋体"/>
                      <w:color w:val="686868"/>
                      <w:kern w:val="0"/>
                      <w:sz w:val="18"/>
                      <w:szCs w:val="18"/>
                    </w:rPr>
                  </w:pPr>
                  <w:r w:rsidRPr="00654C9C">
                    <w:rPr>
                      <w:rFonts w:ascii="宋体" w:eastAsia="宋体" w:hAnsi="宋体" w:cs="宋体"/>
                      <w:b/>
                      <w:bCs/>
                      <w:color w:val="686868"/>
                      <w:kern w:val="0"/>
                      <w:sz w:val="18"/>
                      <w:szCs w:val="18"/>
                    </w:rPr>
                    <w:t>主 题 词:</w:t>
                  </w:r>
                </w:p>
              </w:tc>
            </w:tr>
          </w:tbl>
          <w:p w:rsidR="00654C9C" w:rsidRPr="00654C9C" w:rsidRDefault="00654C9C" w:rsidP="00654C9C">
            <w:pPr>
              <w:widowControl/>
              <w:jc w:val="left"/>
              <w:rPr>
                <w:rFonts w:ascii="宋体" w:eastAsia="宋体" w:hAnsi="宋体" w:cs="宋体"/>
                <w:color w:val="686868"/>
                <w:kern w:val="0"/>
                <w:sz w:val="18"/>
                <w:szCs w:val="18"/>
              </w:rPr>
            </w:pPr>
          </w:p>
        </w:tc>
      </w:tr>
    </w:tbl>
    <w:p w:rsidR="00654C9C" w:rsidRPr="00654C9C" w:rsidRDefault="00654C9C" w:rsidP="00654C9C">
      <w:pPr>
        <w:widowControl/>
        <w:jc w:val="center"/>
        <w:rPr>
          <w:rFonts w:ascii="微软雅黑" w:eastAsia="微软雅黑" w:hAnsi="微软雅黑" w:cs="宋体"/>
          <w:color w:val="000000"/>
          <w:kern w:val="0"/>
          <w:sz w:val="18"/>
          <w:szCs w:val="18"/>
        </w:rPr>
      </w:pPr>
      <w:r w:rsidRPr="00654C9C">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654C9C" w:rsidRPr="00654C9C" w:rsidRDefault="00654C9C" w:rsidP="00654C9C">
      <w:pPr>
        <w:widowControl/>
        <w:shd w:val="clear" w:color="auto" w:fill="FFFFFF"/>
        <w:spacing w:after="240"/>
        <w:jc w:val="center"/>
        <w:rPr>
          <w:rFonts w:ascii="微软雅黑" w:eastAsia="微软雅黑" w:hAnsi="微软雅黑" w:cs="宋体" w:hint="eastAsia"/>
          <w:color w:val="000000"/>
          <w:kern w:val="0"/>
          <w:sz w:val="18"/>
          <w:szCs w:val="18"/>
        </w:rPr>
      </w:pPr>
      <w:r w:rsidRPr="00654C9C">
        <w:rPr>
          <w:rFonts w:ascii="微软雅黑" w:eastAsia="微软雅黑" w:hAnsi="微软雅黑" w:cs="宋体" w:hint="eastAsia"/>
          <w:color w:val="000000"/>
          <w:kern w:val="0"/>
          <w:sz w:val="18"/>
          <w:szCs w:val="18"/>
        </w:rPr>
        <w:br/>
      </w:r>
      <w:r w:rsidRPr="00654C9C">
        <w:rPr>
          <w:rFonts w:ascii="黑体" w:eastAsia="黑体" w:hAnsi="黑体" w:cs="宋体" w:hint="eastAsia"/>
          <w:b/>
          <w:bCs/>
          <w:color w:val="FF0000"/>
          <w:kern w:val="0"/>
          <w:sz w:val="36"/>
          <w:szCs w:val="36"/>
        </w:rPr>
        <w:t>中国证监会行政处罚决定书（杨国章）</w:t>
      </w:r>
    </w:p>
    <w:p w:rsidR="00654C9C" w:rsidRPr="00654C9C" w:rsidRDefault="00654C9C" w:rsidP="00654C9C">
      <w:pPr>
        <w:widowControl/>
        <w:shd w:val="clear" w:color="auto" w:fill="FFFFFF"/>
        <w:spacing w:line="360" w:lineRule="atLeast"/>
        <w:jc w:val="center"/>
        <w:rPr>
          <w:rFonts w:ascii="楷体" w:eastAsia="楷体" w:hAnsi="楷体" w:cs="宋体" w:hint="eastAsia"/>
          <w:color w:val="000000"/>
          <w:kern w:val="0"/>
          <w:sz w:val="24"/>
          <w:szCs w:val="24"/>
        </w:rPr>
      </w:pPr>
      <w:r w:rsidRPr="00654C9C">
        <w:rPr>
          <w:rFonts w:ascii="宋体" w:eastAsia="宋体" w:hAnsi="宋体" w:cs="宋体" w:hint="eastAsia"/>
          <w:color w:val="000000"/>
          <w:kern w:val="0"/>
          <w:szCs w:val="21"/>
        </w:rPr>
        <w:t>〔2013〕65号</w:t>
      </w:r>
    </w:p>
    <w:p w:rsidR="00654C9C" w:rsidRPr="00654C9C" w:rsidRDefault="00654C9C" w:rsidP="00654C9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54C9C">
        <w:rPr>
          <w:rFonts w:ascii="宋体" w:eastAsia="宋体" w:hAnsi="宋体" w:cs="宋体" w:hint="eastAsia"/>
          <w:color w:val="000000"/>
          <w:kern w:val="0"/>
          <w:szCs w:val="21"/>
        </w:rPr>
        <w:t>当事人：杨国章，男，1971年7月出生，住址：河北省唐山遵化市遵化镇西北居委会文礼大街。</w:t>
      </w:r>
    </w:p>
    <w:p w:rsidR="00654C9C" w:rsidRPr="00654C9C" w:rsidRDefault="00654C9C" w:rsidP="00654C9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54C9C">
        <w:rPr>
          <w:rFonts w:ascii="宋体" w:eastAsia="宋体" w:hAnsi="宋体" w:cs="宋体" w:hint="eastAsia"/>
          <w:color w:val="000000"/>
          <w:kern w:val="0"/>
          <w:szCs w:val="21"/>
        </w:rPr>
        <w:t>依据《中华人民共和国证券法》（以下简称《证券法》）的有关规定，我会对杨国章内幕交易北京金自天正智能控制股份有限公司（以下简称金自天正）股票行为进行了立案调查、审理，并依法向杨国章告知了</w:t>
      </w:r>
      <w:proofErr w:type="gramStart"/>
      <w:r w:rsidRPr="00654C9C">
        <w:rPr>
          <w:rFonts w:ascii="宋体" w:eastAsia="宋体" w:hAnsi="宋体" w:cs="宋体" w:hint="eastAsia"/>
          <w:color w:val="000000"/>
          <w:kern w:val="0"/>
          <w:szCs w:val="21"/>
        </w:rPr>
        <w:t>作出</w:t>
      </w:r>
      <w:proofErr w:type="gramEnd"/>
      <w:r w:rsidRPr="00654C9C">
        <w:rPr>
          <w:rFonts w:ascii="宋体" w:eastAsia="宋体" w:hAnsi="宋体" w:cs="宋体" w:hint="eastAsia"/>
          <w:color w:val="000000"/>
          <w:kern w:val="0"/>
          <w:szCs w:val="21"/>
        </w:rPr>
        <w:t>行政处罚的事实、理由、依据及当事人依法享有的权利，当事人杨国章进行了陈述和申辩，未要求听证。本案现已调查、审理终结。</w:t>
      </w:r>
    </w:p>
    <w:p w:rsidR="00654C9C" w:rsidRPr="00654C9C" w:rsidRDefault="00654C9C" w:rsidP="00654C9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54C9C">
        <w:rPr>
          <w:rFonts w:ascii="宋体" w:eastAsia="宋体" w:hAnsi="宋体" w:cs="宋体" w:hint="eastAsia"/>
          <w:color w:val="000000"/>
          <w:kern w:val="0"/>
          <w:szCs w:val="21"/>
        </w:rPr>
        <w:t>经查明，杨国章存在以下违法事实：</w:t>
      </w:r>
    </w:p>
    <w:p w:rsidR="00654C9C" w:rsidRPr="00654C9C" w:rsidRDefault="00654C9C" w:rsidP="00654C9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54C9C">
        <w:rPr>
          <w:rFonts w:ascii="宋体" w:eastAsia="宋体" w:hAnsi="宋体" w:cs="宋体" w:hint="eastAsia"/>
          <w:color w:val="000000"/>
          <w:kern w:val="0"/>
          <w:szCs w:val="21"/>
        </w:rPr>
        <w:t>一、本案涉及的内幕信息</w:t>
      </w:r>
    </w:p>
    <w:p w:rsidR="00654C9C" w:rsidRPr="00654C9C" w:rsidRDefault="00654C9C" w:rsidP="00654C9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54C9C">
        <w:rPr>
          <w:rFonts w:ascii="宋体" w:eastAsia="宋体" w:hAnsi="宋体" w:cs="宋体" w:hint="eastAsia"/>
          <w:color w:val="000000"/>
          <w:kern w:val="0"/>
          <w:szCs w:val="21"/>
        </w:rPr>
        <w:t>2011年12月29日，金自天正召开2011年度总结表彰会议，内部报告包括部分未经审计财务数据。2012年1月5日，金自天正向控股股东和实际控制人报送2011年度未经审计的财务数据。2012年1月30日，金自天正委托会计师事务所对公司2011年财务数据进行审计。2月24日（周五），金自天正董事长张某武布置2011年报工作，要求金自天正总经理胡某等4人研究2011年利润分配方案。2012年2月28日，胡某等4人拟定了2011年度利润分配预案初步方案：提议公司2011年度利润分配预案为向全体股东每10股派现1元（含税）、送2股并转增6股。2012年3月13日，金自天正董事会会议通过2011年度利润分配及转增股本预案，并于3月15日公开披露：2011年度利润分配方案和资本公积金转增股本方案为每10股派0.6元（含税）、送2股转增3股。</w:t>
      </w:r>
    </w:p>
    <w:p w:rsidR="00654C9C" w:rsidRPr="00654C9C" w:rsidRDefault="00654C9C" w:rsidP="00654C9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54C9C">
        <w:rPr>
          <w:rFonts w:ascii="宋体" w:eastAsia="宋体" w:hAnsi="宋体" w:cs="宋体" w:hint="eastAsia"/>
          <w:color w:val="000000"/>
          <w:kern w:val="0"/>
          <w:szCs w:val="21"/>
        </w:rPr>
        <w:t>金自天正2011年度利润分配及转增股本方案在2012年3月15日公开前，属于《证券法》第七十五条第二款第（二）项规定的内幕信息。金自天正总经理胡某于2012年2月24日知悉内幕信息。</w:t>
      </w:r>
    </w:p>
    <w:p w:rsidR="00654C9C" w:rsidRPr="00654C9C" w:rsidRDefault="00654C9C" w:rsidP="00654C9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54C9C">
        <w:rPr>
          <w:rFonts w:ascii="宋体" w:eastAsia="宋体" w:hAnsi="宋体" w:cs="宋体" w:hint="eastAsia"/>
          <w:color w:val="000000"/>
          <w:kern w:val="0"/>
          <w:szCs w:val="21"/>
        </w:rPr>
        <w:t>2012年2月1日至3月15日，金自天正股价从10.71元上涨至13.23元，累计上涨23.53%，同期上证指数上涨4.66%。其中，2012年2月27日至3月15日，金自天正股价从12.08元上涨至13.23元，累计上涨9.52%，同期上证指数下跌3%。3月15日公告当日，金自天正股价上涨4.5%，上证指数下跌0.73%。</w:t>
      </w:r>
    </w:p>
    <w:p w:rsidR="00654C9C" w:rsidRPr="00654C9C" w:rsidRDefault="00654C9C" w:rsidP="00654C9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54C9C">
        <w:rPr>
          <w:rFonts w:ascii="宋体" w:eastAsia="宋体" w:hAnsi="宋体" w:cs="宋体" w:hint="eastAsia"/>
          <w:color w:val="000000"/>
          <w:kern w:val="0"/>
          <w:szCs w:val="21"/>
        </w:rPr>
        <w:t>二、杨国章知悉内幕信息及相关交易情况</w:t>
      </w:r>
    </w:p>
    <w:p w:rsidR="00654C9C" w:rsidRPr="00654C9C" w:rsidRDefault="00654C9C" w:rsidP="00654C9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54C9C">
        <w:rPr>
          <w:rFonts w:ascii="宋体" w:eastAsia="宋体" w:hAnsi="宋体" w:cs="宋体" w:hint="eastAsia"/>
          <w:color w:val="000000"/>
          <w:kern w:val="0"/>
          <w:szCs w:val="21"/>
        </w:rPr>
        <w:lastRenderedPageBreak/>
        <w:t>杨国章和内幕信息知情人金自天正总经理胡某均与河北津西钢铁股份有限公司（以下简称津西钢铁）有业务联系，杨国章经常帮助胡某和津西钢铁联络业务，同时又从金自天正分包业务。2012年2月27日胡某与杨国章有电话联系。</w:t>
      </w:r>
    </w:p>
    <w:p w:rsidR="00654C9C" w:rsidRPr="00654C9C" w:rsidRDefault="00654C9C" w:rsidP="00654C9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54C9C">
        <w:rPr>
          <w:rFonts w:ascii="宋体" w:eastAsia="宋体" w:hAnsi="宋体" w:cs="宋体" w:hint="eastAsia"/>
          <w:color w:val="000000"/>
          <w:kern w:val="0"/>
          <w:szCs w:val="21"/>
        </w:rPr>
        <w:t>“张学东”账户系本案涉案账户，该账户自开户</w:t>
      </w:r>
      <w:proofErr w:type="gramStart"/>
      <w:r w:rsidRPr="00654C9C">
        <w:rPr>
          <w:rFonts w:ascii="宋体" w:eastAsia="宋体" w:hAnsi="宋体" w:cs="宋体" w:hint="eastAsia"/>
          <w:color w:val="000000"/>
          <w:kern w:val="0"/>
          <w:szCs w:val="21"/>
        </w:rPr>
        <w:t>至调查日</w:t>
      </w:r>
      <w:proofErr w:type="gramEnd"/>
      <w:r w:rsidRPr="00654C9C">
        <w:rPr>
          <w:rFonts w:ascii="宋体" w:eastAsia="宋体" w:hAnsi="宋体" w:cs="宋体" w:hint="eastAsia"/>
          <w:color w:val="000000"/>
          <w:kern w:val="0"/>
          <w:szCs w:val="21"/>
        </w:rPr>
        <w:t>，共转入293万元，转出10万元，资金都来自杨国章。该账户于2012年2月27日卖出“芜湖港”97,800股、“远望谷”14,200股、“中路股份”57,090股，卖出金额合计178.86万元。该账户同日买入“金自天正”144,570股，买入金额1,784,879元，并于3月15日卖出全部144,570股，卖出金额1,889,183元，盈利91,102.46元。该账户2011年7月21日至2012年2月27日买入“金自天正”之前，交易股票包括“华泰证券”、“ST新材”、“远望谷”、“中路股份”、“芜湖港”等，操作风格为短线频繁、反复交易同一只股票，没有单日清仓其他股票并全仓买入单一股票的交易记录。2011年7月21日至2012年2月26日期间及2012年2月28日</w:t>
      </w:r>
      <w:proofErr w:type="gramStart"/>
      <w:r w:rsidRPr="00654C9C">
        <w:rPr>
          <w:rFonts w:ascii="宋体" w:eastAsia="宋体" w:hAnsi="宋体" w:cs="宋体" w:hint="eastAsia"/>
          <w:color w:val="000000"/>
          <w:kern w:val="0"/>
          <w:szCs w:val="21"/>
        </w:rPr>
        <w:t>至调查日</w:t>
      </w:r>
      <w:proofErr w:type="gramEnd"/>
      <w:r w:rsidRPr="00654C9C">
        <w:rPr>
          <w:rFonts w:ascii="宋体" w:eastAsia="宋体" w:hAnsi="宋体" w:cs="宋体" w:hint="eastAsia"/>
          <w:color w:val="000000"/>
          <w:kern w:val="0"/>
          <w:szCs w:val="21"/>
        </w:rPr>
        <w:t>也没有买入金自天正股票的记录。</w:t>
      </w:r>
    </w:p>
    <w:p w:rsidR="00654C9C" w:rsidRPr="00654C9C" w:rsidRDefault="00654C9C" w:rsidP="00654C9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54C9C">
        <w:rPr>
          <w:rFonts w:ascii="宋体" w:eastAsia="宋体" w:hAnsi="宋体" w:cs="宋体" w:hint="eastAsia"/>
          <w:color w:val="000000"/>
          <w:kern w:val="0"/>
          <w:szCs w:val="21"/>
        </w:rPr>
        <w:t>杨国章与内幕信息知情人胡某在内幕信息敏感期内有电话联系，之后集中大量买入金自天正股票，交易行为明显异常。根据《证券法》第七十六条的规定，杨国章2012年2月27日买入金自天正股票的行为构成内幕交易。</w:t>
      </w:r>
    </w:p>
    <w:p w:rsidR="00654C9C" w:rsidRPr="00654C9C" w:rsidRDefault="00654C9C" w:rsidP="00654C9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54C9C">
        <w:rPr>
          <w:rFonts w:ascii="宋体" w:eastAsia="宋体" w:hAnsi="宋体" w:cs="宋体" w:hint="eastAsia"/>
          <w:color w:val="000000"/>
          <w:kern w:val="0"/>
          <w:szCs w:val="21"/>
        </w:rPr>
        <w:t>以上情况，有相关说明、谈话笔录、证券营业部提供的相关数据、证券交易所的计算数据等证据证明，足以认定。</w:t>
      </w:r>
    </w:p>
    <w:p w:rsidR="00654C9C" w:rsidRPr="00654C9C" w:rsidRDefault="00654C9C" w:rsidP="00654C9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54C9C">
        <w:rPr>
          <w:rFonts w:ascii="宋体" w:eastAsia="宋体" w:hAnsi="宋体" w:cs="宋体" w:hint="eastAsia"/>
          <w:color w:val="000000"/>
          <w:kern w:val="0"/>
          <w:szCs w:val="21"/>
        </w:rPr>
        <w:t>杨国章在陈述和申辩中提出，买入金自天正股票是根据行业经验判断和市场公开信息确定的投资，内幕信息敏感期内的通话是为沟通业务进行的，和内幕信息无关。经复核，杨国章在内幕信息敏感期内，与内幕信息知情人有联络，相关交易行为明显异常，其提供的陈述申辩材料不能解释其敏感期内交易异常的原因。因此，对杨国章的申辩理由不予采纳。</w:t>
      </w:r>
    </w:p>
    <w:p w:rsidR="00654C9C" w:rsidRPr="00654C9C" w:rsidRDefault="00654C9C" w:rsidP="00654C9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54C9C">
        <w:rPr>
          <w:rFonts w:ascii="宋体" w:eastAsia="宋体" w:hAnsi="宋体" w:cs="宋体" w:hint="eastAsia"/>
          <w:color w:val="000000"/>
          <w:kern w:val="0"/>
          <w:szCs w:val="21"/>
        </w:rPr>
        <w:t>根据《证券法》第二百零二条的规定，我会决定：没收杨国</w:t>
      </w:r>
      <w:proofErr w:type="gramStart"/>
      <w:r w:rsidRPr="00654C9C">
        <w:rPr>
          <w:rFonts w:ascii="宋体" w:eastAsia="宋体" w:hAnsi="宋体" w:cs="宋体" w:hint="eastAsia"/>
          <w:color w:val="000000"/>
          <w:kern w:val="0"/>
          <w:szCs w:val="21"/>
        </w:rPr>
        <w:t>章违法</w:t>
      </w:r>
      <w:proofErr w:type="gramEnd"/>
      <w:r w:rsidRPr="00654C9C">
        <w:rPr>
          <w:rFonts w:ascii="宋体" w:eastAsia="宋体" w:hAnsi="宋体" w:cs="宋体" w:hint="eastAsia"/>
          <w:color w:val="000000"/>
          <w:kern w:val="0"/>
          <w:szCs w:val="21"/>
        </w:rPr>
        <w:t>所得91,102.46元，并处以91,102.46元的罚款。</w:t>
      </w:r>
    </w:p>
    <w:p w:rsidR="00654C9C" w:rsidRPr="00654C9C" w:rsidRDefault="00654C9C" w:rsidP="00654C9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54C9C">
        <w:rPr>
          <w:rFonts w:ascii="宋体" w:eastAsia="宋体" w:hAnsi="宋体" w:cs="宋体" w:hint="eastAsia"/>
          <w:color w:val="000000"/>
          <w:kern w:val="0"/>
          <w:szCs w:val="21"/>
        </w:rPr>
        <w:t>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3个月内直接向有管辖权的人民法院提起行政诉讼。复议和诉讼期间，上述决定不停止执行。</w:t>
      </w:r>
    </w:p>
    <w:p w:rsidR="00654C9C" w:rsidRPr="00654C9C" w:rsidRDefault="00654C9C" w:rsidP="00654C9C">
      <w:pPr>
        <w:widowControl/>
        <w:shd w:val="clear" w:color="auto" w:fill="FFFFFF"/>
        <w:wordWrap w:val="0"/>
        <w:spacing w:line="360" w:lineRule="atLeast"/>
        <w:jc w:val="right"/>
        <w:rPr>
          <w:rFonts w:ascii="楷体" w:eastAsia="楷体" w:hAnsi="楷体" w:cs="宋体" w:hint="eastAsia"/>
          <w:color w:val="000000"/>
          <w:kern w:val="0"/>
          <w:sz w:val="24"/>
          <w:szCs w:val="24"/>
        </w:rPr>
      </w:pPr>
      <w:r w:rsidRPr="00654C9C">
        <w:rPr>
          <w:rFonts w:ascii="Calibri" w:eastAsia="楷体" w:hAnsi="Calibri" w:cs="Calibri"/>
          <w:color w:val="000000"/>
          <w:kern w:val="0"/>
          <w:sz w:val="24"/>
          <w:szCs w:val="24"/>
        </w:rPr>
        <w:t> </w:t>
      </w:r>
    </w:p>
    <w:p w:rsidR="00654C9C" w:rsidRPr="00654C9C" w:rsidRDefault="00654C9C" w:rsidP="00654C9C">
      <w:pPr>
        <w:widowControl/>
        <w:shd w:val="clear" w:color="auto" w:fill="FFFFFF"/>
        <w:wordWrap w:val="0"/>
        <w:spacing w:line="360" w:lineRule="atLeast"/>
        <w:jc w:val="right"/>
        <w:rPr>
          <w:rFonts w:ascii="楷体" w:eastAsia="楷体" w:hAnsi="楷体" w:cs="宋体" w:hint="eastAsia"/>
          <w:color w:val="000000"/>
          <w:kern w:val="0"/>
          <w:sz w:val="24"/>
          <w:szCs w:val="24"/>
        </w:rPr>
      </w:pPr>
      <w:r w:rsidRPr="00654C9C">
        <w:rPr>
          <w:rFonts w:ascii="Calibri" w:eastAsia="楷体" w:hAnsi="Calibri" w:cs="Calibri"/>
          <w:color w:val="000000"/>
          <w:kern w:val="0"/>
          <w:sz w:val="24"/>
          <w:szCs w:val="24"/>
        </w:rPr>
        <w:t> </w:t>
      </w:r>
    </w:p>
    <w:p w:rsidR="00654C9C" w:rsidRPr="00654C9C" w:rsidRDefault="00654C9C" w:rsidP="00654C9C">
      <w:pPr>
        <w:widowControl/>
        <w:shd w:val="clear" w:color="auto" w:fill="FFFFFF"/>
        <w:wordWrap w:val="0"/>
        <w:spacing w:line="360" w:lineRule="atLeast"/>
        <w:jc w:val="right"/>
        <w:rPr>
          <w:rFonts w:ascii="楷体" w:eastAsia="楷体" w:hAnsi="楷体" w:cs="宋体" w:hint="eastAsia"/>
          <w:color w:val="000000"/>
          <w:kern w:val="0"/>
          <w:sz w:val="24"/>
          <w:szCs w:val="24"/>
        </w:rPr>
      </w:pPr>
      <w:r w:rsidRPr="00654C9C">
        <w:rPr>
          <w:rFonts w:ascii="Calibri" w:eastAsia="楷体" w:hAnsi="Calibri" w:cs="Calibri"/>
          <w:color w:val="000000"/>
          <w:kern w:val="0"/>
          <w:sz w:val="24"/>
          <w:szCs w:val="24"/>
        </w:rPr>
        <w:t> </w:t>
      </w:r>
    </w:p>
    <w:p w:rsidR="00654C9C" w:rsidRPr="00654C9C" w:rsidRDefault="00654C9C" w:rsidP="00654C9C">
      <w:pPr>
        <w:widowControl/>
        <w:shd w:val="clear" w:color="auto" w:fill="FFFFFF"/>
        <w:wordWrap w:val="0"/>
        <w:spacing w:line="360" w:lineRule="atLeast"/>
        <w:jc w:val="right"/>
        <w:rPr>
          <w:rFonts w:ascii="楷体" w:eastAsia="楷体" w:hAnsi="楷体" w:cs="宋体" w:hint="eastAsia"/>
          <w:color w:val="000000"/>
          <w:kern w:val="0"/>
          <w:sz w:val="24"/>
          <w:szCs w:val="24"/>
        </w:rPr>
      </w:pPr>
      <w:r w:rsidRPr="00654C9C">
        <w:rPr>
          <w:rFonts w:ascii="Calibri" w:eastAsia="楷体" w:hAnsi="Calibri" w:cs="Calibri"/>
          <w:color w:val="000000"/>
          <w:kern w:val="0"/>
          <w:sz w:val="24"/>
          <w:szCs w:val="24"/>
        </w:rPr>
        <w:t> </w:t>
      </w:r>
    </w:p>
    <w:p w:rsidR="00654C9C" w:rsidRPr="00654C9C" w:rsidRDefault="00654C9C" w:rsidP="00654C9C">
      <w:pPr>
        <w:widowControl/>
        <w:shd w:val="clear" w:color="auto" w:fill="FFFFFF"/>
        <w:wordWrap w:val="0"/>
        <w:spacing w:line="360" w:lineRule="atLeast"/>
        <w:jc w:val="right"/>
        <w:rPr>
          <w:rFonts w:ascii="楷体" w:eastAsia="楷体" w:hAnsi="楷体" w:cs="宋体" w:hint="eastAsia"/>
          <w:color w:val="000000"/>
          <w:kern w:val="0"/>
          <w:sz w:val="24"/>
          <w:szCs w:val="24"/>
        </w:rPr>
      </w:pPr>
      <w:r w:rsidRPr="00654C9C">
        <w:rPr>
          <w:rFonts w:ascii="宋体" w:eastAsia="宋体" w:hAnsi="宋体" w:cs="宋体" w:hint="eastAsia"/>
          <w:color w:val="000000"/>
          <w:kern w:val="0"/>
          <w:szCs w:val="21"/>
        </w:rPr>
        <w:t xml:space="preserve">中国证监会　　</w:t>
      </w:r>
    </w:p>
    <w:p w:rsidR="00654C9C" w:rsidRPr="00654C9C" w:rsidRDefault="00654C9C" w:rsidP="00654C9C">
      <w:pPr>
        <w:widowControl/>
        <w:shd w:val="clear" w:color="auto" w:fill="FFFFFF"/>
        <w:wordWrap w:val="0"/>
        <w:spacing w:line="360" w:lineRule="atLeast"/>
        <w:jc w:val="right"/>
        <w:rPr>
          <w:rFonts w:ascii="楷体" w:eastAsia="楷体" w:hAnsi="楷体" w:cs="宋体" w:hint="eastAsia"/>
          <w:color w:val="000000"/>
          <w:kern w:val="0"/>
          <w:sz w:val="24"/>
          <w:szCs w:val="24"/>
        </w:rPr>
      </w:pPr>
      <w:r w:rsidRPr="00654C9C">
        <w:rPr>
          <w:rFonts w:ascii="宋体" w:eastAsia="宋体" w:hAnsi="宋体" w:cs="宋体" w:hint="eastAsia"/>
          <w:color w:val="000000"/>
          <w:kern w:val="0"/>
          <w:szCs w:val="21"/>
        </w:rPr>
        <w:t xml:space="preserve">2013年11月28日　</w:t>
      </w:r>
    </w:p>
    <w:p w:rsidR="00654C9C" w:rsidRPr="00654C9C" w:rsidRDefault="00654C9C" w:rsidP="00654C9C">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654C9C" w:rsidRPr="00654C9C" w:rsidTr="00654C9C">
        <w:trPr>
          <w:tblCellSpacing w:w="15" w:type="dxa"/>
          <w:jc w:val="center"/>
        </w:trPr>
        <w:tc>
          <w:tcPr>
            <w:tcW w:w="900" w:type="dxa"/>
            <w:vAlign w:val="center"/>
            <w:hideMark/>
          </w:tcPr>
          <w:p w:rsidR="00654C9C" w:rsidRPr="00654C9C" w:rsidRDefault="00654C9C" w:rsidP="00654C9C">
            <w:pPr>
              <w:widowControl/>
              <w:jc w:val="left"/>
              <w:rPr>
                <w:rFonts w:ascii="宋体" w:eastAsia="宋体" w:hAnsi="宋体" w:cs="宋体" w:hint="eastAsia"/>
                <w:kern w:val="0"/>
                <w:sz w:val="18"/>
                <w:szCs w:val="18"/>
              </w:rPr>
            </w:pPr>
            <w:r w:rsidRPr="00654C9C">
              <w:rPr>
                <w:rFonts w:ascii="宋体" w:eastAsia="宋体" w:hAnsi="宋体" w:cs="宋体"/>
                <w:kern w:val="0"/>
                <w:sz w:val="18"/>
                <w:szCs w:val="18"/>
              </w:rPr>
              <w:t> </w:t>
            </w:r>
          </w:p>
        </w:tc>
        <w:tc>
          <w:tcPr>
            <w:tcW w:w="1200" w:type="dxa"/>
            <w:vAlign w:val="center"/>
            <w:hideMark/>
          </w:tcPr>
          <w:p w:rsidR="00654C9C" w:rsidRPr="00654C9C" w:rsidRDefault="00654C9C" w:rsidP="00654C9C">
            <w:pPr>
              <w:widowControl/>
              <w:jc w:val="left"/>
              <w:rPr>
                <w:rFonts w:ascii="宋体" w:eastAsia="宋体" w:hAnsi="宋体" w:cs="宋体"/>
                <w:kern w:val="0"/>
                <w:sz w:val="18"/>
                <w:szCs w:val="18"/>
              </w:rPr>
            </w:pPr>
            <w:r w:rsidRPr="00654C9C">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654C9C" w:rsidRPr="00654C9C" w:rsidRDefault="00654C9C" w:rsidP="00654C9C">
            <w:pPr>
              <w:widowControl/>
              <w:jc w:val="left"/>
              <w:rPr>
                <w:rFonts w:ascii="宋体" w:eastAsia="宋体" w:hAnsi="宋体" w:cs="宋体"/>
                <w:kern w:val="0"/>
                <w:sz w:val="18"/>
                <w:szCs w:val="18"/>
              </w:rPr>
            </w:pPr>
            <w:r w:rsidRPr="00654C9C">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654C9C" w:rsidRPr="00654C9C" w:rsidRDefault="00654C9C" w:rsidP="00654C9C">
            <w:pPr>
              <w:widowControl/>
              <w:jc w:val="left"/>
              <w:rPr>
                <w:rFonts w:ascii="宋体" w:eastAsia="宋体" w:hAnsi="宋体" w:cs="宋体"/>
                <w:kern w:val="0"/>
                <w:sz w:val="18"/>
                <w:szCs w:val="18"/>
              </w:rPr>
            </w:pPr>
            <w:r w:rsidRPr="00654C9C">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654C9C" w:rsidRPr="00654C9C" w:rsidRDefault="00654C9C" w:rsidP="00654C9C">
      <w:pPr>
        <w:widowControl/>
        <w:jc w:val="center"/>
        <w:rPr>
          <w:rFonts w:ascii="微软雅黑" w:eastAsia="微软雅黑" w:hAnsi="微软雅黑" w:cs="宋体"/>
          <w:color w:val="515151"/>
          <w:kern w:val="0"/>
          <w:sz w:val="18"/>
          <w:szCs w:val="18"/>
        </w:rPr>
      </w:pPr>
      <w:hyperlink r:id="rId11" w:tgtFrame="_blank" w:history="1">
        <w:r w:rsidRPr="00654C9C">
          <w:rPr>
            <w:rFonts w:ascii="微软雅黑" w:eastAsia="微软雅黑" w:hAnsi="微软雅黑" w:cs="宋体" w:hint="eastAsia"/>
            <w:color w:val="0000FF"/>
            <w:kern w:val="0"/>
            <w:sz w:val="18"/>
            <w:szCs w:val="18"/>
            <w:u w:val="single"/>
          </w:rPr>
          <w:t>关于我们</w:t>
        </w:r>
      </w:hyperlink>
      <w:r w:rsidRPr="00654C9C">
        <w:rPr>
          <w:rFonts w:ascii="微软雅黑" w:eastAsia="微软雅黑" w:hAnsi="微软雅黑" w:cs="宋体" w:hint="eastAsia"/>
          <w:color w:val="515151"/>
          <w:kern w:val="0"/>
          <w:sz w:val="18"/>
          <w:szCs w:val="18"/>
        </w:rPr>
        <w:t> - </w:t>
      </w:r>
      <w:hyperlink r:id="rId12" w:tgtFrame="_blank" w:history="1">
        <w:r w:rsidRPr="00654C9C">
          <w:rPr>
            <w:rFonts w:ascii="微软雅黑" w:eastAsia="微软雅黑" w:hAnsi="微软雅黑" w:cs="宋体" w:hint="eastAsia"/>
            <w:color w:val="0000FF"/>
            <w:kern w:val="0"/>
            <w:sz w:val="18"/>
            <w:szCs w:val="18"/>
            <w:u w:val="single"/>
          </w:rPr>
          <w:t>法律声明</w:t>
        </w:r>
      </w:hyperlink>
      <w:r w:rsidRPr="00654C9C">
        <w:rPr>
          <w:rFonts w:ascii="微软雅黑" w:eastAsia="微软雅黑" w:hAnsi="微软雅黑" w:cs="宋体" w:hint="eastAsia"/>
          <w:color w:val="515151"/>
          <w:kern w:val="0"/>
          <w:sz w:val="18"/>
          <w:szCs w:val="18"/>
        </w:rPr>
        <w:t> - </w:t>
      </w:r>
      <w:hyperlink r:id="rId13" w:tgtFrame="_blank" w:history="1">
        <w:r w:rsidRPr="00654C9C">
          <w:rPr>
            <w:rFonts w:ascii="微软雅黑" w:eastAsia="微软雅黑" w:hAnsi="微软雅黑" w:cs="宋体" w:hint="eastAsia"/>
            <w:color w:val="0000FF"/>
            <w:kern w:val="0"/>
            <w:sz w:val="18"/>
            <w:szCs w:val="18"/>
            <w:u w:val="single"/>
          </w:rPr>
          <w:t>联系我们</w:t>
        </w:r>
      </w:hyperlink>
    </w:p>
    <w:p w:rsidR="00654C9C" w:rsidRPr="00654C9C" w:rsidRDefault="00654C9C" w:rsidP="00654C9C">
      <w:pPr>
        <w:widowControl/>
        <w:jc w:val="center"/>
        <w:rPr>
          <w:rFonts w:ascii="微软雅黑" w:eastAsia="微软雅黑" w:hAnsi="微软雅黑" w:cs="宋体" w:hint="eastAsia"/>
          <w:color w:val="515151"/>
          <w:kern w:val="0"/>
          <w:sz w:val="18"/>
          <w:szCs w:val="18"/>
        </w:rPr>
      </w:pPr>
      <w:r w:rsidRPr="00654C9C">
        <w:rPr>
          <w:rFonts w:ascii="微软雅黑" w:eastAsia="微软雅黑" w:hAnsi="微软雅黑" w:cs="宋体" w:hint="eastAsia"/>
          <w:color w:val="515151"/>
          <w:kern w:val="0"/>
          <w:sz w:val="18"/>
          <w:szCs w:val="18"/>
        </w:rPr>
        <w:lastRenderedPageBreak/>
        <w:t>版权所有：中国证券监督管理委员会 京ICP备 05035542号</w:t>
      </w:r>
    </w:p>
    <w:p w:rsidR="00654C9C" w:rsidRPr="00654C9C" w:rsidRDefault="00654C9C" w:rsidP="00654C9C">
      <w:pPr>
        <w:widowControl/>
        <w:jc w:val="center"/>
        <w:rPr>
          <w:rFonts w:ascii="微软雅黑" w:eastAsia="微软雅黑" w:hAnsi="微软雅黑" w:cs="宋体" w:hint="eastAsia"/>
          <w:color w:val="515151"/>
          <w:kern w:val="0"/>
          <w:sz w:val="18"/>
          <w:szCs w:val="18"/>
        </w:rPr>
      </w:pPr>
      <w:r w:rsidRPr="00654C9C">
        <w:rPr>
          <w:rFonts w:ascii="微软雅黑" w:eastAsia="微软雅黑" w:hAnsi="微软雅黑" w:cs="宋体" w:hint="eastAsia"/>
          <w:color w:val="515151"/>
          <w:kern w:val="0"/>
          <w:sz w:val="18"/>
          <w:szCs w:val="18"/>
        </w:rPr>
        <w:t>地址：北京市西城区金融大街19号富凯大厦A座 邮编：100033</w:t>
      </w:r>
    </w:p>
    <w:p w:rsidR="00654C9C" w:rsidRPr="00654C9C" w:rsidRDefault="00654C9C" w:rsidP="00654C9C">
      <w:pPr>
        <w:widowControl/>
        <w:jc w:val="center"/>
        <w:rPr>
          <w:rFonts w:ascii="微软雅黑" w:eastAsia="微软雅黑" w:hAnsi="微软雅黑" w:cs="宋体" w:hint="eastAsia"/>
          <w:color w:val="515151"/>
          <w:kern w:val="0"/>
          <w:sz w:val="18"/>
          <w:szCs w:val="18"/>
        </w:rPr>
      </w:pPr>
      <w:r w:rsidRPr="00654C9C">
        <w:rPr>
          <w:rFonts w:ascii="微软雅黑" w:eastAsia="微软雅黑" w:hAnsi="微软雅黑" w:cs="宋体" w:hint="eastAsia"/>
          <w:color w:val="515151"/>
          <w:kern w:val="0"/>
          <w:sz w:val="18"/>
          <w:szCs w:val="18"/>
        </w:rPr>
        <w:t>建议使用IE5.5以上浏览器，分辨率1024*768</w:t>
      </w:r>
    </w:p>
    <w:p w:rsidR="005E7404" w:rsidRPr="00654C9C" w:rsidRDefault="005E7404"/>
    <w:sectPr w:rsidR="005E7404" w:rsidRPr="00654C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C9C"/>
    <w:rsid w:val="005E7404"/>
    <w:rsid w:val="00654C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447516-0CF4-409F-9561-B03850C98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54C9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54C9C"/>
    <w:rPr>
      <w:b/>
      <w:bCs/>
    </w:rPr>
  </w:style>
  <w:style w:type="paragraph" w:customStyle="1" w:styleId="p0">
    <w:name w:val="p0"/>
    <w:basedOn w:val="a"/>
    <w:rsid w:val="00654C9C"/>
    <w:pPr>
      <w:widowControl/>
      <w:spacing w:before="100" w:beforeAutospacing="1" w:after="100" w:afterAutospacing="1"/>
      <w:jc w:val="left"/>
    </w:pPr>
    <w:rPr>
      <w:rFonts w:ascii="宋体" w:eastAsia="宋体" w:hAnsi="宋体" w:cs="宋体"/>
      <w:kern w:val="0"/>
      <w:sz w:val="24"/>
      <w:szCs w:val="24"/>
    </w:rPr>
  </w:style>
  <w:style w:type="paragraph" w:customStyle="1" w:styleId="p16">
    <w:name w:val="p16"/>
    <w:basedOn w:val="a"/>
    <w:rsid w:val="00654C9C"/>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654C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1565566">
      <w:bodyDiv w:val="1"/>
      <w:marLeft w:val="0"/>
      <w:marRight w:val="0"/>
      <w:marTop w:val="0"/>
      <w:marBottom w:val="0"/>
      <w:divBdr>
        <w:top w:val="none" w:sz="0" w:space="0" w:color="auto"/>
        <w:left w:val="none" w:sz="0" w:space="0" w:color="auto"/>
        <w:bottom w:val="none" w:sz="0" w:space="0" w:color="auto"/>
        <w:right w:val="none" w:sz="0" w:space="0" w:color="auto"/>
      </w:divBdr>
      <w:divsChild>
        <w:div w:id="81610136">
          <w:marLeft w:val="0"/>
          <w:marRight w:val="0"/>
          <w:marTop w:val="150"/>
          <w:marBottom w:val="150"/>
          <w:divBdr>
            <w:top w:val="none" w:sz="0" w:space="0" w:color="auto"/>
            <w:left w:val="none" w:sz="0" w:space="0" w:color="auto"/>
            <w:bottom w:val="none" w:sz="0" w:space="0" w:color="auto"/>
            <w:right w:val="none" w:sz="0" w:space="0" w:color="auto"/>
          </w:divBdr>
        </w:div>
        <w:div w:id="1396779177">
          <w:marLeft w:val="0"/>
          <w:marRight w:val="0"/>
          <w:marTop w:val="0"/>
          <w:marBottom w:val="0"/>
          <w:divBdr>
            <w:top w:val="single" w:sz="6" w:space="8" w:color="B5B5B5"/>
            <w:left w:val="single" w:sz="6" w:space="0" w:color="B5B5B5"/>
            <w:bottom w:val="single" w:sz="6" w:space="8" w:color="B5B5B5"/>
            <w:right w:val="single" w:sz="6" w:space="0" w:color="B5B5B5"/>
          </w:divBdr>
          <w:divsChild>
            <w:div w:id="1893037659">
              <w:marLeft w:val="0"/>
              <w:marRight w:val="0"/>
              <w:marTop w:val="0"/>
              <w:marBottom w:val="0"/>
              <w:divBdr>
                <w:top w:val="none" w:sz="0" w:space="0" w:color="auto"/>
                <w:left w:val="none" w:sz="0" w:space="0" w:color="auto"/>
                <w:bottom w:val="none" w:sz="0" w:space="0" w:color="auto"/>
                <w:right w:val="none" w:sz="0" w:space="0" w:color="auto"/>
              </w:divBdr>
            </w:div>
            <w:div w:id="637564833">
              <w:marLeft w:val="0"/>
              <w:marRight w:val="0"/>
              <w:marTop w:val="0"/>
              <w:marBottom w:val="0"/>
              <w:divBdr>
                <w:top w:val="none" w:sz="0" w:space="0" w:color="auto"/>
                <w:left w:val="none" w:sz="0" w:space="0" w:color="auto"/>
                <w:bottom w:val="none" w:sz="0" w:space="0" w:color="auto"/>
                <w:right w:val="none" w:sz="0" w:space="0" w:color="auto"/>
              </w:divBdr>
            </w:div>
            <w:div w:id="1626736723">
              <w:marLeft w:val="0"/>
              <w:marRight w:val="0"/>
              <w:marTop w:val="120"/>
              <w:marBottom w:val="120"/>
              <w:divBdr>
                <w:top w:val="none" w:sz="0" w:space="0" w:color="auto"/>
                <w:left w:val="none" w:sz="0" w:space="0" w:color="auto"/>
                <w:bottom w:val="none" w:sz="0" w:space="0" w:color="auto"/>
                <w:right w:val="none" w:sz="0" w:space="0" w:color="auto"/>
              </w:divBdr>
            </w:div>
          </w:divsChild>
        </w:div>
        <w:div w:id="578826876">
          <w:marLeft w:val="0"/>
          <w:marRight w:val="0"/>
          <w:marTop w:val="120"/>
          <w:marBottom w:val="0"/>
          <w:divBdr>
            <w:top w:val="none" w:sz="0" w:space="0" w:color="auto"/>
            <w:left w:val="none" w:sz="0" w:space="0" w:color="auto"/>
            <w:bottom w:val="none" w:sz="0" w:space="0" w:color="auto"/>
            <w:right w:val="none" w:sz="0" w:space="0" w:color="auto"/>
          </w:divBdr>
          <w:divsChild>
            <w:div w:id="1622959718">
              <w:marLeft w:val="0"/>
              <w:marRight w:val="0"/>
              <w:marTop w:val="60"/>
              <w:marBottom w:val="0"/>
              <w:divBdr>
                <w:top w:val="none" w:sz="0" w:space="0" w:color="auto"/>
                <w:left w:val="none" w:sz="0" w:space="0" w:color="auto"/>
                <w:bottom w:val="none" w:sz="0" w:space="0" w:color="auto"/>
                <w:right w:val="none" w:sz="0" w:space="0" w:color="auto"/>
              </w:divBdr>
            </w:div>
            <w:div w:id="2144736762">
              <w:marLeft w:val="0"/>
              <w:marRight w:val="0"/>
              <w:marTop w:val="60"/>
              <w:marBottom w:val="0"/>
              <w:divBdr>
                <w:top w:val="none" w:sz="0" w:space="0" w:color="auto"/>
                <w:left w:val="none" w:sz="0" w:space="0" w:color="auto"/>
                <w:bottom w:val="none" w:sz="0" w:space="0" w:color="auto"/>
                <w:right w:val="none" w:sz="0" w:space="0" w:color="auto"/>
              </w:divBdr>
            </w:div>
            <w:div w:id="745150729">
              <w:marLeft w:val="0"/>
              <w:marRight w:val="0"/>
              <w:marTop w:val="60"/>
              <w:marBottom w:val="0"/>
              <w:divBdr>
                <w:top w:val="none" w:sz="0" w:space="0" w:color="auto"/>
                <w:left w:val="none" w:sz="0" w:space="0" w:color="auto"/>
                <w:bottom w:val="none" w:sz="0" w:space="0" w:color="auto"/>
                <w:right w:val="none" w:sz="0" w:space="0" w:color="auto"/>
              </w:divBdr>
            </w:div>
            <w:div w:id="183206285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401/t20140123_243075.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375</Words>
  <Characters>2138</Characters>
  <Application>Microsoft Office Word</Application>
  <DocSecurity>0</DocSecurity>
  <Lines>17</Lines>
  <Paragraphs>5</Paragraphs>
  <ScaleCrop>false</ScaleCrop>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2020-02-19T14:04:00Z</dcterms:created>
  <dcterms:modified xsi:type="dcterms:W3CDTF">2020-02-19T14:05:00Z</dcterms:modified>
</cp:coreProperties>
</file>