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2DF" w:rsidRPr="007C72DF" w:rsidRDefault="007C72DF" w:rsidP="007C72DF">
      <w:pPr>
        <w:widowControl/>
        <w:jc w:val="center"/>
        <w:rPr>
          <w:rFonts w:ascii="微软雅黑" w:eastAsia="微软雅黑" w:hAnsi="微软雅黑" w:cs="宋体"/>
          <w:color w:val="000000"/>
          <w:kern w:val="0"/>
          <w:sz w:val="18"/>
          <w:szCs w:val="18"/>
        </w:rPr>
      </w:pPr>
      <w:r w:rsidRPr="007C72D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C72DF" w:rsidRPr="007C72DF" w:rsidTr="007C72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72DF" w:rsidRPr="007C72DF">
              <w:trPr>
                <w:tblCellSpacing w:w="0" w:type="dxa"/>
              </w:trPr>
              <w:tc>
                <w:tcPr>
                  <w:tcW w:w="2500" w:type="pct"/>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hint="eastAsia"/>
                      <w:color w:val="686868"/>
                      <w:kern w:val="0"/>
                      <w:sz w:val="18"/>
                      <w:szCs w:val="18"/>
                    </w:rPr>
                  </w:pPr>
                  <w:r w:rsidRPr="007C72DF">
                    <w:rPr>
                      <w:rFonts w:ascii="宋体" w:eastAsia="宋体" w:hAnsi="宋体" w:cs="宋体"/>
                      <w:b/>
                      <w:bCs/>
                      <w:color w:val="686868"/>
                      <w:kern w:val="0"/>
                      <w:sz w:val="18"/>
                      <w:szCs w:val="18"/>
                    </w:rPr>
                    <w:t>索 引 号:</w:t>
                  </w:r>
                  <w:r w:rsidRPr="007C72D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分类:</w:t>
                  </w:r>
                  <w:r w:rsidRPr="007C72DF">
                    <w:rPr>
                      <w:rFonts w:ascii="宋体" w:eastAsia="宋体" w:hAnsi="宋体" w:cs="宋体"/>
                      <w:color w:val="686868"/>
                      <w:kern w:val="0"/>
                      <w:sz w:val="18"/>
                      <w:szCs w:val="18"/>
                    </w:rPr>
                    <w:t> 行政处罚 ; 行政处罚决定</w:t>
                  </w:r>
                </w:p>
              </w:tc>
            </w:tr>
          </w:tbl>
          <w:p w:rsidR="007C72DF" w:rsidRPr="007C72DF" w:rsidRDefault="007C72DF" w:rsidP="007C72DF">
            <w:pPr>
              <w:widowControl/>
              <w:jc w:val="left"/>
              <w:rPr>
                <w:rFonts w:ascii="宋体" w:eastAsia="宋体" w:hAnsi="宋体" w:cs="宋体"/>
                <w:color w:val="686868"/>
                <w:kern w:val="0"/>
                <w:sz w:val="18"/>
                <w:szCs w:val="18"/>
              </w:rPr>
            </w:pPr>
          </w:p>
        </w:tc>
      </w:tr>
      <w:tr w:rsidR="007C72DF" w:rsidRPr="007C72DF" w:rsidTr="007C72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72DF" w:rsidRPr="007C72DF">
              <w:trPr>
                <w:tblCellSpacing w:w="0" w:type="dxa"/>
              </w:trPr>
              <w:tc>
                <w:tcPr>
                  <w:tcW w:w="2500" w:type="pct"/>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发布机构:</w:t>
                  </w:r>
                  <w:r w:rsidRPr="007C72D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发文日期:</w:t>
                  </w:r>
                  <w:r w:rsidRPr="007C72DF">
                    <w:rPr>
                      <w:rFonts w:ascii="宋体" w:eastAsia="宋体" w:hAnsi="宋体" w:cs="宋体"/>
                      <w:color w:val="686868"/>
                      <w:kern w:val="0"/>
                      <w:sz w:val="18"/>
                      <w:szCs w:val="18"/>
                    </w:rPr>
                    <w:t> 2013年11月28日</w:t>
                  </w:r>
                </w:p>
              </w:tc>
            </w:tr>
          </w:tbl>
          <w:p w:rsidR="007C72DF" w:rsidRPr="007C72DF" w:rsidRDefault="007C72DF" w:rsidP="007C72DF">
            <w:pPr>
              <w:widowControl/>
              <w:jc w:val="left"/>
              <w:rPr>
                <w:rFonts w:ascii="宋体" w:eastAsia="宋体" w:hAnsi="宋体" w:cs="宋体"/>
                <w:color w:val="686868"/>
                <w:kern w:val="0"/>
                <w:sz w:val="18"/>
                <w:szCs w:val="18"/>
              </w:rPr>
            </w:pPr>
          </w:p>
        </w:tc>
      </w:tr>
      <w:tr w:rsidR="007C72DF" w:rsidRPr="007C72DF" w:rsidTr="007C72DF">
        <w:trPr>
          <w:tblCellSpacing w:w="0" w:type="dxa"/>
          <w:jc w:val="center"/>
        </w:trPr>
        <w:tc>
          <w:tcPr>
            <w:tcW w:w="0" w:type="auto"/>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名　　称:</w:t>
            </w:r>
            <w:r w:rsidRPr="007C72DF">
              <w:rPr>
                <w:rFonts w:ascii="宋体" w:eastAsia="宋体" w:hAnsi="宋体" w:cs="宋体"/>
                <w:color w:val="686868"/>
                <w:kern w:val="0"/>
                <w:sz w:val="18"/>
                <w:szCs w:val="18"/>
              </w:rPr>
              <w:t> 中国证监会行政处罚决定书（张玉屏）</w:t>
            </w:r>
          </w:p>
        </w:tc>
      </w:tr>
      <w:tr w:rsidR="007C72DF" w:rsidRPr="007C72DF" w:rsidTr="007C72D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72DF" w:rsidRPr="007C72DF">
              <w:trPr>
                <w:tblCellSpacing w:w="0" w:type="dxa"/>
              </w:trPr>
              <w:tc>
                <w:tcPr>
                  <w:tcW w:w="2500" w:type="pct"/>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文　　号:</w:t>
                  </w:r>
                  <w:r w:rsidRPr="007C72DF">
                    <w:rPr>
                      <w:rFonts w:ascii="宋体" w:eastAsia="宋体" w:hAnsi="宋体" w:cs="宋体"/>
                      <w:color w:val="686868"/>
                      <w:kern w:val="0"/>
                      <w:sz w:val="18"/>
                      <w:szCs w:val="18"/>
                    </w:rPr>
                    <w:t> </w:t>
                  </w:r>
                  <w:bookmarkStart w:id="0" w:name="_GoBack"/>
                  <w:r w:rsidRPr="007C72DF">
                    <w:rPr>
                      <w:rFonts w:ascii="宋体" w:eastAsia="宋体" w:hAnsi="宋体" w:cs="宋体"/>
                      <w:color w:val="686868"/>
                      <w:kern w:val="0"/>
                      <w:sz w:val="18"/>
                      <w:szCs w:val="18"/>
                    </w:rPr>
                    <w:t>〔2013〕66号</w:t>
                  </w:r>
                  <w:bookmarkEnd w:id="0"/>
                </w:p>
              </w:tc>
              <w:tc>
                <w:tcPr>
                  <w:tcW w:w="0" w:type="auto"/>
                  <w:tcMar>
                    <w:top w:w="30" w:type="dxa"/>
                    <w:left w:w="30" w:type="dxa"/>
                    <w:bottom w:w="30" w:type="dxa"/>
                    <w:right w:w="30" w:type="dxa"/>
                  </w:tcMar>
                  <w:hideMark/>
                </w:tcPr>
                <w:p w:rsidR="007C72DF" w:rsidRPr="007C72DF" w:rsidRDefault="007C72DF" w:rsidP="007C72DF">
                  <w:pPr>
                    <w:widowControl/>
                    <w:jc w:val="left"/>
                    <w:rPr>
                      <w:rFonts w:ascii="宋体" w:eastAsia="宋体" w:hAnsi="宋体" w:cs="宋体"/>
                      <w:color w:val="686868"/>
                      <w:kern w:val="0"/>
                      <w:sz w:val="18"/>
                      <w:szCs w:val="18"/>
                    </w:rPr>
                  </w:pPr>
                  <w:r w:rsidRPr="007C72DF">
                    <w:rPr>
                      <w:rFonts w:ascii="宋体" w:eastAsia="宋体" w:hAnsi="宋体" w:cs="宋体"/>
                      <w:b/>
                      <w:bCs/>
                      <w:color w:val="686868"/>
                      <w:kern w:val="0"/>
                      <w:sz w:val="18"/>
                      <w:szCs w:val="18"/>
                    </w:rPr>
                    <w:t>主 题 词:</w:t>
                  </w:r>
                </w:p>
              </w:tc>
            </w:tr>
          </w:tbl>
          <w:p w:rsidR="007C72DF" w:rsidRPr="007C72DF" w:rsidRDefault="007C72DF" w:rsidP="007C72DF">
            <w:pPr>
              <w:widowControl/>
              <w:jc w:val="left"/>
              <w:rPr>
                <w:rFonts w:ascii="宋体" w:eastAsia="宋体" w:hAnsi="宋体" w:cs="宋体"/>
                <w:color w:val="686868"/>
                <w:kern w:val="0"/>
                <w:sz w:val="18"/>
                <w:szCs w:val="18"/>
              </w:rPr>
            </w:pPr>
          </w:p>
        </w:tc>
      </w:tr>
    </w:tbl>
    <w:p w:rsidR="007C72DF" w:rsidRPr="007C72DF" w:rsidRDefault="007C72DF" w:rsidP="007C72DF">
      <w:pPr>
        <w:widowControl/>
        <w:jc w:val="center"/>
        <w:rPr>
          <w:rFonts w:ascii="微软雅黑" w:eastAsia="微软雅黑" w:hAnsi="微软雅黑" w:cs="宋体"/>
          <w:color w:val="000000"/>
          <w:kern w:val="0"/>
          <w:sz w:val="18"/>
          <w:szCs w:val="18"/>
        </w:rPr>
      </w:pPr>
      <w:r w:rsidRPr="007C72D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C72DF" w:rsidRPr="007C72DF" w:rsidRDefault="007C72DF" w:rsidP="007C72DF">
      <w:pPr>
        <w:widowControl/>
        <w:shd w:val="clear" w:color="auto" w:fill="FFFFFF"/>
        <w:spacing w:after="240"/>
        <w:jc w:val="center"/>
        <w:rPr>
          <w:rFonts w:ascii="微软雅黑" w:eastAsia="微软雅黑" w:hAnsi="微软雅黑" w:cs="宋体" w:hint="eastAsia"/>
          <w:color w:val="000000"/>
          <w:kern w:val="0"/>
          <w:sz w:val="18"/>
          <w:szCs w:val="18"/>
        </w:rPr>
      </w:pPr>
      <w:r w:rsidRPr="007C72DF">
        <w:rPr>
          <w:rFonts w:ascii="微软雅黑" w:eastAsia="微软雅黑" w:hAnsi="微软雅黑" w:cs="宋体" w:hint="eastAsia"/>
          <w:color w:val="000000"/>
          <w:kern w:val="0"/>
          <w:sz w:val="18"/>
          <w:szCs w:val="18"/>
        </w:rPr>
        <w:br/>
      </w:r>
      <w:r w:rsidRPr="007C72DF">
        <w:rPr>
          <w:rFonts w:ascii="黑体" w:eastAsia="黑体" w:hAnsi="黑体" w:cs="宋体" w:hint="eastAsia"/>
          <w:b/>
          <w:bCs/>
          <w:color w:val="FF0000"/>
          <w:kern w:val="0"/>
          <w:sz w:val="36"/>
          <w:szCs w:val="36"/>
        </w:rPr>
        <w:t>中国证监会行政处罚决定书（张玉屏）</w:t>
      </w:r>
    </w:p>
    <w:p w:rsidR="007C72DF" w:rsidRPr="007C72DF" w:rsidRDefault="007C72DF" w:rsidP="007C72DF">
      <w:pPr>
        <w:widowControl/>
        <w:shd w:val="clear" w:color="auto" w:fill="FFFFFF"/>
        <w:spacing w:line="360" w:lineRule="atLeast"/>
        <w:jc w:val="center"/>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〔2013〕66号</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当事人：张玉屏，女，1981年8月出生，住址：上海市浦东</w:t>
      </w:r>
      <w:proofErr w:type="gramStart"/>
      <w:r w:rsidRPr="007C72DF">
        <w:rPr>
          <w:rFonts w:ascii="宋体" w:eastAsia="宋体" w:hAnsi="宋体" w:cs="宋体" w:hint="eastAsia"/>
          <w:color w:val="000000"/>
          <w:kern w:val="0"/>
          <w:szCs w:val="21"/>
        </w:rPr>
        <w:t>新区白杵</w:t>
      </w:r>
      <w:proofErr w:type="gramEnd"/>
      <w:r w:rsidRPr="007C72DF">
        <w:rPr>
          <w:rFonts w:ascii="宋体" w:eastAsia="宋体" w:hAnsi="宋体" w:cs="宋体" w:hint="eastAsia"/>
          <w:color w:val="000000"/>
          <w:kern w:val="0"/>
          <w:szCs w:val="21"/>
        </w:rPr>
        <w:t>路。</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依据《中华人民共和国证券法》（以下简称《证券法》）的有关规定，我会对张玉屏内幕交易上海建工集团股份有限公司（以下简称上海建工）股票行为进行了立案调查、审理，并依法向张玉屏告知了</w:t>
      </w:r>
      <w:proofErr w:type="gramStart"/>
      <w:r w:rsidRPr="007C72DF">
        <w:rPr>
          <w:rFonts w:ascii="宋体" w:eastAsia="宋体" w:hAnsi="宋体" w:cs="宋体" w:hint="eastAsia"/>
          <w:color w:val="000000"/>
          <w:kern w:val="0"/>
          <w:szCs w:val="21"/>
        </w:rPr>
        <w:t>作出</w:t>
      </w:r>
      <w:proofErr w:type="gramEnd"/>
      <w:r w:rsidRPr="007C72DF">
        <w:rPr>
          <w:rFonts w:ascii="宋体" w:eastAsia="宋体" w:hAnsi="宋体" w:cs="宋体" w:hint="eastAsia"/>
          <w:color w:val="000000"/>
          <w:kern w:val="0"/>
          <w:szCs w:val="21"/>
        </w:rPr>
        <w:t>行政处罚的事实、理由、依据及当事人依法享有的权利，张玉屏进行了陈述和申辩，未要求听证。本案现已调查、审理终结。</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经查明，张玉屏存在以下违法事实：</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一、本案涉及的内幕信息</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2012年3月16日，上海建工发出有关</w:t>
      </w:r>
      <w:proofErr w:type="gramStart"/>
      <w:r w:rsidRPr="007C72DF">
        <w:rPr>
          <w:rFonts w:ascii="宋体" w:eastAsia="宋体" w:hAnsi="宋体" w:cs="宋体" w:hint="eastAsia"/>
          <w:color w:val="000000"/>
          <w:kern w:val="0"/>
          <w:szCs w:val="21"/>
        </w:rPr>
        <w:t>审议高送转利润</w:t>
      </w:r>
      <w:proofErr w:type="gramEnd"/>
      <w:r w:rsidRPr="007C72DF">
        <w:rPr>
          <w:rFonts w:ascii="宋体" w:eastAsia="宋体" w:hAnsi="宋体" w:cs="宋体" w:hint="eastAsia"/>
          <w:color w:val="000000"/>
          <w:kern w:val="0"/>
          <w:szCs w:val="21"/>
        </w:rPr>
        <w:t>分配方案的董事会、监事会会议通知，在会议通知中列明了会议审议议案的题目。3月19日，上海</w:t>
      </w:r>
      <w:proofErr w:type="gramStart"/>
      <w:r w:rsidRPr="007C72DF">
        <w:rPr>
          <w:rFonts w:ascii="宋体" w:eastAsia="宋体" w:hAnsi="宋体" w:cs="宋体" w:hint="eastAsia"/>
          <w:color w:val="000000"/>
          <w:kern w:val="0"/>
          <w:szCs w:val="21"/>
        </w:rPr>
        <w:t>建工董秘尤某某</w:t>
      </w:r>
      <w:proofErr w:type="gramEnd"/>
      <w:r w:rsidRPr="007C72DF">
        <w:rPr>
          <w:rFonts w:ascii="宋体" w:eastAsia="宋体" w:hAnsi="宋体" w:cs="宋体" w:hint="eastAsia"/>
          <w:color w:val="000000"/>
          <w:kern w:val="0"/>
          <w:szCs w:val="21"/>
        </w:rPr>
        <w:t>要求证券事务代表李某对2011年度利润分配方案进行测算。3月23日下午股票交易收盘后，上海建工董事长徐某，董事、总会计师刘某某以及尤某某三人商议公司2011年度分配方式，一致同意将2011年度分配预案定为“十送五转五派</w:t>
      </w:r>
      <w:proofErr w:type="gramStart"/>
      <w:r w:rsidRPr="007C72DF">
        <w:rPr>
          <w:rFonts w:ascii="宋体" w:eastAsia="宋体" w:hAnsi="宋体" w:cs="宋体" w:hint="eastAsia"/>
          <w:color w:val="000000"/>
          <w:kern w:val="0"/>
          <w:szCs w:val="21"/>
        </w:rPr>
        <w:t>一</w:t>
      </w:r>
      <w:proofErr w:type="gramEnd"/>
      <w:r w:rsidRPr="007C72DF">
        <w:rPr>
          <w:rFonts w:ascii="宋体" w:eastAsia="宋体" w:hAnsi="宋体" w:cs="宋体" w:hint="eastAsia"/>
          <w:color w:val="000000"/>
          <w:kern w:val="0"/>
          <w:szCs w:val="21"/>
        </w:rPr>
        <w:t>”并提交董事会审议。3月24日和25日，李某与资产财务部副处长张某某加班准备年度报告和董事会、监事会会议材料。3月26日上午，上海建工第五届董事会第二十次会议和第五届监事会第十次会议在上海建工20楼会议室召开。3月27日，上海建工公告2011年年度报告，披露了利润分配方案。</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2012年3月27日，上海建工股票高开6.26%，收盘上涨5.17%（当日上证综指的涨幅为－0.15%），至2012年5月7日，上海建工股票累计涨幅为64.34%（同期上证综指的累计涨幅为4.31%）。</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上海建工2011年度利润分配方案在公告前属于《证券法》第七十五条第二款第（二）项规定的内幕信息。内幕信息于2012年3月19日形成，3月27日上海建工发布公告时公开。</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二、张玉屏知悉内幕信息及相关交易情况</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lastRenderedPageBreak/>
        <w:t>2012年3月24日和25日，李某与张某某加班准备年度报告和董事会、监事会会议材料。3月26日，上海建工召开董事会、监事会时，张某某参会。因此，张某某不迟于3月24日知悉上述内幕信息。</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张玉屏为张某某的女儿，经常回张某某家，父女二人也经常联系。本案中，张玉屏使用的其本人实名账户，开立于2007年6月28日，下挂实名沪</w:t>
      </w:r>
      <w:proofErr w:type="gramStart"/>
      <w:r w:rsidRPr="007C72DF">
        <w:rPr>
          <w:rFonts w:ascii="宋体" w:eastAsia="宋体" w:hAnsi="宋体" w:cs="宋体" w:hint="eastAsia"/>
          <w:color w:val="000000"/>
          <w:kern w:val="0"/>
          <w:szCs w:val="21"/>
        </w:rPr>
        <w:t>市股东</w:t>
      </w:r>
      <w:proofErr w:type="gramEnd"/>
      <w:r w:rsidRPr="007C72DF">
        <w:rPr>
          <w:rFonts w:ascii="宋体" w:eastAsia="宋体" w:hAnsi="宋体" w:cs="宋体" w:hint="eastAsia"/>
          <w:color w:val="000000"/>
          <w:kern w:val="0"/>
          <w:szCs w:val="21"/>
        </w:rPr>
        <w:t>账户1个。截至我会调查日，该账户“上海建工”交易情况是：2011年未曾交易过“上海建工”，自2012年3月21日起开始交易该股，当日买入17,700股，3月26日买入28,000股。2012年4月26日，卖出5,700股，5月2日卖出20,000股，9月19日卖出全部余股。2012年5月10日，红股入账20,000股。该账户交易“上海建工”对应的MAC地址为001A****114A。经查，该MAC地址为张玉屏在办公室使用笔记本电脑的无线网卡地址。</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张玉屏在张某某知悉本案内幕信息后的3月26日集中大量买入上海建工股票，交易行为明显异常。根据《证券法》第七十六条的规定，张玉屏2012年3月26日买入上海建工股票构成内幕交易行为。</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以上情况，有相关说明、谈话笔录、以及证券营业部的相关数据等证据证明，足以认定。</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张玉屏在陈述申辩意见中提出，第一，其不知买卖父亲所在企业的股票违法才进行了买卖，知晓后已经全部卖出。第二，其除了在2012年3月26日买入上海建工股票之外，还于同年3月21日买入上海建工股票。第三，其已将买卖上海建工股票的收益211,617元上缴给上海建工，再对其进行处罚不近情理。</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经复核，我会认为，第一，我国法律并未禁止投资者买卖亲属所在企业的股票，禁止的是利用内幕信息进行股票交易。第二，张玉屏3月21日买入股票的行为不足以解释其3月26日交易异常的原因。第三，根据《证券法》第二百零二条之规定，对张玉屏内幕交易的违法所得予以没收并处以罚款系我会依法</w:t>
      </w:r>
      <w:proofErr w:type="gramStart"/>
      <w:r w:rsidRPr="007C72DF">
        <w:rPr>
          <w:rFonts w:ascii="宋体" w:eastAsia="宋体" w:hAnsi="宋体" w:cs="宋体" w:hint="eastAsia"/>
          <w:color w:val="000000"/>
          <w:kern w:val="0"/>
          <w:szCs w:val="21"/>
        </w:rPr>
        <w:t>作出</w:t>
      </w:r>
      <w:proofErr w:type="gramEnd"/>
      <w:r w:rsidRPr="007C72DF">
        <w:rPr>
          <w:rFonts w:ascii="宋体" w:eastAsia="宋体" w:hAnsi="宋体" w:cs="宋体" w:hint="eastAsia"/>
          <w:color w:val="000000"/>
          <w:kern w:val="0"/>
          <w:szCs w:val="21"/>
        </w:rPr>
        <w:t>的行政处罚。</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根据《证券法》第二百零二条的规定，我会决定：没收张玉屏违法所得108,945.63元，并处以108,945.63元罚款。</w:t>
      </w:r>
    </w:p>
    <w:p w:rsidR="007C72DF" w:rsidRPr="007C72DF" w:rsidRDefault="007C72DF" w:rsidP="007C72D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Calibri" w:eastAsia="楷体" w:hAnsi="Calibri" w:cs="Calibri"/>
          <w:color w:val="000000"/>
          <w:kern w:val="0"/>
          <w:sz w:val="24"/>
          <w:szCs w:val="24"/>
        </w:rPr>
        <w:t> </w:t>
      </w:r>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Calibri" w:eastAsia="楷体" w:hAnsi="Calibri" w:cs="Calibri"/>
          <w:color w:val="000000"/>
          <w:kern w:val="0"/>
          <w:sz w:val="24"/>
          <w:szCs w:val="24"/>
        </w:rPr>
        <w:t> </w:t>
      </w:r>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Calibri" w:eastAsia="楷体" w:hAnsi="Calibri" w:cs="Calibri"/>
          <w:color w:val="000000"/>
          <w:kern w:val="0"/>
          <w:sz w:val="24"/>
          <w:szCs w:val="24"/>
        </w:rPr>
        <w:t> </w:t>
      </w:r>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Calibri" w:eastAsia="楷体" w:hAnsi="Calibri" w:cs="Calibri"/>
          <w:color w:val="000000"/>
          <w:kern w:val="0"/>
          <w:sz w:val="24"/>
          <w:szCs w:val="24"/>
        </w:rPr>
        <w:t> </w:t>
      </w:r>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中国证监会</w:t>
      </w:r>
      <w:proofErr w:type="gramStart"/>
      <w:r w:rsidRPr="007C72DF">
        <w:rPr>
          <w:rFonts w:ascii="宋体" w:eastAsia="宋体" w:hAnsi="宋体" w:cs="宋体" w:hint="eastAsia"/>
          <w:color w:val="000000"/>
          <w:kern w:val="0"/>
          <w:szCs w:val="21"/>
        </w:rPr>
        <w:t xml:space="preserve">　　　　　</w:t>
      </w:r>
      <w:proofErr w:type="gramEnd"/>
    </w:p>
    <w:p w:rsidR="007C72DF" w:rsidRPr="007C72DF" w:rsidRDefault="007C72DF" w:rsidP="007C72D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72DF">
        <w:rPr>
          <w:rFonts w:ascii="宋体" w:eastAsia="宋体" w:hAnsi="宋体" w:cs="宋体" w:hint="eastAsia"/>
          <w:color w:val="000000"/>
          <w:kern w:val="0"/>
          <w:szCs w:val="21"/>
        </w:rPr>
        <w:t xml:space="preserve">2013年11月28日　　</w:t>
      </w:r>
      <w:proofErr w:type="gramStart"/>
      <w:r w:rsidRPr="007C72DF">
        <w:rPr>
          <w:rFonts w:ascii="宋体" w:eastAsia="宋体" w:hAnsi="宋体" w:cs="宋体" w:hint="eastAsia"/>
          <w:color w:val="000000"/>
          <w:kern w:val="0"/>
          <w:szCs w:val="21"/>
        </w:rPr>
        <w:t xml:space="preserve">　　</w:t>
      </w:r>
      <w:proofErr w:type="gramEnd"/>
    </w:p>
    <w:p w:rsidR="007C72DF" w:rsidRPr="007C72DF" w:rsidRDefault="007C72DF" w:rsidP="007C72D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C72DF" w:rsidRPr="007C72DF" w:rsidTr="007C72DF">
        <w:trPr>
          <w:tblCellSpacing w:w="15" w:type="dxa"/>
          <w:jc w:val="center"/>
        </w:trPr>
        <w:tc>
          <w:tcPr>
            <w:tcW w:w="900" w:type="dxa"/>
            <w:vAlign w:val="center"/>
            <w:hideMark/>
          </w:tcPr>
          <w:p w:rsidR="007C72DF" w:rsidRPr="007C72DF" w:rsidRDefault="007C72DF" w:rsidP="007C72DF">
            <w:pPr>
              <w:widowControl/>
              <w:jc w:val="left"/>
              <w:rPr>
                <w:rFonts w:ascii="宋体" w:eastAsia="宋体" w:hAnsi="宋体" w:cs="宋体" w:hint="eastAsia"/>
                <w:kern w:val="0"/>
                <w:sz w:val="18"/>
                <w:szCs w:val="18"/>
              </w:rPr>
            </w:pPr>
            <w:r w:rsidRPr="007C72DF">
              <w:rPr>
                <w:rFonts w:ascii="宋体" w:eastAsia="宋体" w:hAnsi="宋体" w:cs="宋体"/>
                <w:kern w:val="0"/>
                <w:sz w:val="18"/>
                <w:szCs w:val="18"/>
              </w:rPr>
              <w:lastRenderedPageBreak/>
              <w:t> </w:t>
            </w:r>
          </w:p>
        </w:tc>
        <w:tc>
          <w:tcPr>
            <w:tcW w:w="1200" w:type="dxa"/>
            <w:vAlign w:val="center"/>
            <w:hideMark/>
          </w:tcPr>
          <w:p w:rsidR="007C72DF" w:rsidRPr="007C72DF" w:rsidRDefault="007C72DF" w:rsidP="007C72DF">
            <w:pPr>
              <w:widowControl/>
              <w:jc w:val="left"/>
              <w:rPr>
                <w:rFonts w:ascii="宋体" w:eastAsia="宋体" w:hAnsi="宋体" w:cs="宋体"/>
                <w:kern w:val="0"/>
                <w:sz w:val="18"/>
                <w:szCs w:val="18"/>
              </w:rPr>
            </w:pPr>
            <w:r w:rsidRPr="007C72D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72DF" w:rsidRPr="007C72DF" w:rsidRDefault="007C72DF" w:rsidP="007C72DF">
            <w:pPr>
              <w:widowControl/>
              <w:jc w:val="left"/>
              <w:rPr>
                <w:rFonts w:ascii="宋体" w:eastAsia="宋体" w:hAnsi="宋体" w:cs="宋体"/>
                <w:kern w:val="0"/>
                <w:sz w:val="18"/>
                <w:szCs w:val="18"/>
              </w:rPr>
            </w:pPr>
            <w:r w:rsidRPr="007C72D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72DF" w:rsidRPr="007C72DF" w:rsidRDefault="007C72DF" w:rsidP="007C72DF">
            <w:pPr>
              <w:widowControl/>
              <w:jc w:val="left"/>
              <w:rPr>
                <w:rFonts w:ascii="宋体" w:eastAsia="宋体" w:hAnsi="宋体" w:cs="宋体"/>
                <w:kern w:val="0"/>
                <w:sz w:val="18"/>
                <w:szCs w:val="18"/>
              </w:rPr>
            </w:pPr>
            <w:r w:rsidRPr="007C72D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C72DF" w:rsidRPr="007C72DF" w:rsidRDefault="007C72DF" w:rsidP="007C72DF">
      <w:pPr>
        <w:widowControl/>
        <w:jc w:val="center"/>
        <w:rPr>
          <w:rFonts w:ascii="微软雅黑" w:eastAsia="微软雅黑" w:hAnsi="微软雅黑" w:cs="宋体"/>
          <w:color w:val="515151"/>
          <w:kern w:val="0"/>
          <w:sz w:val="18"/>
          <w:szCs w:val="18"/>
        </w:rPr>
      </w:pPr>
      <w:hyperlink r:id="rId11" w:tgtFrame="_blank" w:history="1">
        <w:r w:rsidRPr="007C72DF">
          <w:rPr>
            <w:rFonts w:ascii="微软雅黑" w:eastAsia="微软雅黑" w:hAnsi="微软雅黑" w:cs="宋体" w:hint="eastAsia"/>
            <w:color w:val="0000FF"/>
            <w:kern w:val="0"/>
            <w:sz w:val="18"/>
            <w:szCs w:val="18"/>
            <w:u w:val="single"/>
          </w:rPr>
          <w:t>关于我们</w:t>
        </w:r>
      </w:hyperlink>
      <w:r w:rsidRPr="007C72DF">
        <w:rPr>
          <w:rFonts w:ascii="微软雅黑" w:eastAsia="微软雅黑" w:hAnsi="微软雅黑" w:cs="宋体" w:hint="eastAsia"/>
          <w:color w:val="515151"/>
          <w:kern w:val="0"/>
          <w:sz w:val="18"/>
          <w:szCs w:val="18"/>
        </w:rPr>
        <w:t> - </w:t>
      </w:r>
      <w:hyperlink r:id="rId12" w:tgtFrame="_blank" w:history="1">
        <w:r w:rsidRPr="007C72DF">
          <w:rPr>
            <w:rFonts w:ascii="微软雅黑" w:eastAsia="微软雅黑" w:hAnsi="微软雅黑" w:cs="宋体" w:hint="eastAsia"/>
            <w:color w:val="0000FF"/>
            <w:kern w:val="0"/>
            <w:sz w:val="18"/>
            <w:szCs w:val="18"/>
            <w:u w:val="single"/>
          </w:rPr>
          <w:t>法律声明</w:t>
        </w:r>
      </w:hyperlink>
      <w:r w:rsidRPr="007C72DF">
        <w:rPr>
          <w:rFonts w:ascii="微软雅黑" w:eastAsia="微软雅黑" w:hAnsi="微软雅黑" w:cs="宋体" w:hint="eastAsia"/>
          <w:color w:val="515151"/>
          <w:kern w:val="0"/>
          <w:sz w:val="18"/>
          <w:szCs w:val="18"/>
        </w:rPr>
        <w:t> - </w:t>
      </w:r>
      <w:hyperlink r:id="rId13" w:tgtFrame="_blank" w:history="1">
        <w:r w:rsidRPr="007C72DF">
          <w:rPr>
            <w:rFonts w:ascii="微软雅黑" w:eastAsia="微软雅黑" w:hAnsi="微软雅黑" w:cs="宋体" w:hint="eastAsia"/>
            <w:color w:val="0000FF"/>
            <w:kern w:val="0"/>
            <w:sz w:val="18"/>
            <w:szCs w:val="18"/>
            <w:u w:val="single"/>
          </w:rPr>
          <w:t>联系我们</w:t>
        </w:r>
      </w:hyperlink>
    </w:p>
    <w:p w:rsidR="007C72DF" w:rsidRPr="007C72DF" w:rsidRDefault="007C72DF" w:rsidP="007C72DF">
      <w:pPr>
        <w:widowControl/>
        <w:jc w:val="center"/>
        <w:rPr>
          <w:rFonts w:ascii="微软雅黑" w:eastAsia="微软雅黑" w:hAnsi="微软雅黑" w:cs="宋体" w:hint="eastAsia"/>
          <w:color w:val="515151"/>
          <w:kern w:val="0"/>
          <w:sz w:val="18"/>
          <w:szCs w:val="18"/>
        </w:rPr>
      </w:pPr>
      <w:r w:rsidRPr="007C72DF">
        <w:rPr>
          <w:rFonts w:ascii="微软雅黑" w:eastAsia="微软雅黑" w:hAnsi="微软雅黑" w:cs="宋体" w:hint="eastAsia"/>
          <w:color w:val="515151"/>
          <w:kern w:val="0"/>
          <w:sz w:val="18"/>
          <w:szCs w:val="18"/>
        </w:rPr>
        <w:t>版权所有：中国证券监督管理委员会 京ICP备 05035542号</w:t>
      </w:r>
    </w:p>
    <w:p w:rsidR="007C72DF" w:rsidRPr="007C72DF" w:rsidRDefault="007C72DF" w:rsidP="007C72DF">
      <w:pPr>
        <w:widowControl/>
        <w:jc w:val="center"/>
        <w:rPr>
          <w:rFonts w:ascii="微软雅黑" w:eastAsia="微软雅黑" w:hAnsi="微软雅黑" w:cs="宋体" w:hint="eastAsia"/>
          <w:color w:val="515151"/>
          <w:kern w:val="0"/>
          <w:sz w:val="18"/>
          <w:szCs w:val="18"/>
        </w:rPr>
      </w:pPr>
      <w:r w:rsidRPr="007C72DF">
        <w:rPr>
          <w:rFonts w:ascii="微软雅黑" w:eastAsia="微软雅黑" w:hAnsi="微软雅黑" w:cs="宋体" w:hint="eastAsia"/>
          <w:color w:val="515151"/>
          <w:kern w:val="0"/>
          <w:sz w:val="18"/>
          <w:szCs w:val="18"/>
        </w:rPr>
        <w:t>地址：北京市西城区金融大街19号富凯大厦A座 邮编：100033</w:t>
      </w:r>
    </w:p>
    <w:p w:rsidR="007C72DF" w:rsidRPr="007C72DF" w:rsidRDefault="007C72DF" w:rsidP="007C72DF">
      <w:pPr>
        <w:widowControl/>
        <w:jc w:val="center"/>
        <w:rPr>
          <w:rFonts w:ascii="微软雅黑" w:eastAsia="微软雅黑" w:hAnsi="微软雅黑" w:cs="宋体" w:hint="eastAsia"/>
          <w:color w:val="515151"/>
          <w:kern w:val="0"/>
          <w:sz w:val="18"/>
          <w:szCs w:val="18"/>
        </w:rPr>
      </w:pPr>
      <w:r w:rsidRPr="007C72DF">
        <w:rPr>
          <w:rFonts w:ascii="微软雅黑" w:eastAsia="微软雅黑" w:hAnsi="微软雅黑" w:cs="宋体" w:hint="eastAsia"/>
          <w:color w:val="515151"/>
          <w:kern w:val="0"/>
          <w:sz w:val="18"/>
          <w:szCs w:val="18"/>
        </w:rPr>
        <w:t>建议使用IE5.5以上浏览器，分辨率1024*768</w:t>
      </w:r>
    </w:p>
    <w:p w:rsidR="005E7404" w:rsidRPr="007C72DF" w:rsidRDefault="005E7404"/>
    <w:sectPr w:rsidR="005E7404" w:rsidRPr="007C7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DF"/>
    <w:rsid w:val="005E7404"/>
    <w:rsid w:val="007C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3EE57-9F77-4AE8-BED3-842D3D0B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72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72DF"/>
    <w:rPr>
      <w:b/>
      <w:bCs/>
    </w:rPr>
  </w:style>
  <w:style w:type="paragraph" w:customStyle="1" w:styleId="p0">
    <w:name w:val="p0"/>
    <w:basedOn w:val="a"/>
    <w:rsid w:val="007C72DF"/>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7C72D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C7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17304">
      <w:bodyDiv w:val="1"/>
      <w:marLeft w:val="0"/>
      <w:marRight w:val="0"/>
      <w:marTop w:val="0"/>
      <w:marBottom w:val="0"/>
      <w:divBdr>
        <w:top w:val="none" w:sz="0" w:space="0" w:color="auto"/>
        <w:left w:val="none" w:sz="0" w:space="0" w:color="auto"/>
        <w:bottom w:val="none" w:sz="0" w:space="0" w:color="auto"/>
        <w:right w:val="none" w:sz="0" w:space="0" w:color="auto"/>
      </w:divBdr>
      <w:divsChild>
        <w:div w:id="902981403">
          <w:marLeft w:val="0"/>
          <w:marRight w:val="0"/>
          <w:marTop w:val="150"/>
          <w:marBottom w:val="150"/>
          <w:divBdr>
            <w:top w:val="none" w:sz="0" w:space="0" w:color="auto"/>
            <w:left w:val="none" w:sz="0" w:space="0" w:color="auto"/>
            <w:bottom w:val="none" w:sz="0" w:space="0" w:color="auto"/>
            <w:right w:val="none" w:sz="0" w:space="0" w:color="auto"/>
          </w:divBdr>
        </w:div>
        <w:div w:id="866285853">
          <w:marLeft w:val="0"/>
          <w:marRight w:val="0"/>
          <w:marTop w:val="0"/>
          <w:marBottom w:val="0"/>
          <w:divBdr>
            <w:top w:val="single" w:sz="6" w:space="8" w:color="B5B5B5"/>
            <w:left w:val="single" w:sz="6" w:space="0" w:color="B5B5B5"/>
            <w:bottom w:val="single" w:sz="6" w:space="8" w:color="B5B5B5"/>
            <w:right w:val="single" w:sz="6" w:space="0" w:color="B5B5B5"/>
          </w:divBdr>
          <w:divsChild>
            <w:div w:id="540635714">
              <w:marLeft w:val="0"/>
              <w:marRight w:val="0"/>
              <w:marTop w:val="0"/>
              <w:marBottom w:val="0"/>
              <w:divBdr>
                <w:top w:val="none" w:sz="0" w:space="0" w:color="auto"/>
                <w:left w:val="none" w:sz="0" w:space="0" w:color="auto"/>
                <w:bottom w:val="none" w:sz="0" w:space="0" w:color="auto"/>
                <w:right w:val="none" w:sz="0" w:space="0" w:color="auto"/>
              </w:divBdr>
            </w:div>
            <w:div w:id="1843084916">
              <w:marLeft w:val="0"/>
              <w:marRight w:val="0"/>
              <w:marTop w:val="0"/>
              <w:marBottom w:val="0"/>
              <w:divBdr>
                <w:top w:val="none" w:sz="0" w:space="0" w:color="auto"/>
                <w:left w:val="none" w:sz="0" w:space="0" w:color="auto"/>
                <w:bottom w:val="none" w:sz="0" w:space="0" w:color="auto"/>
                <w:right w:val="none" w:sz="0" w:space="0" w:color="auto"/>
              </w:divBdr>
            </w:div>
            <w:div w:id="1170561722">
              <w:marLeft w:val="0"/>
              <w:marRight w:val="0"/>
              <w:marTop w:val="120"/>
              <w:marBottom w:val="120"/>
              <w:divBdr>
                <w:top w:val="none" w:sz="0" w:space="0" w:color="auto"/>
                <w:left w:val="none" w:sz="0" w:space="0" w:color="auto"/>
                <w:bottom w:val="none" w:sz="0" w:space="0" w:color="auto"/>
                <w:right w:val="none" w:sz="0" w:space="0" w:color="auto"/>
              </w:divBdr>
            </w:div>
          </w:divsChild>
        </w:div>
        <w:div w:id="225068795">
          <w:marLeft w:val="0"/>
          <w:marRight w:val="0"/>
          <w:marTop w:val="120"/>
          <w:marBottom w:val="0"/>
          <w:divBdr>
            <w:top w:val="none" w:sz="0" w:space="0" w:color="auto"/>
            <w:left w:val="none" w:sz="0" w:space="0" w:color="auto"/>
            <w:bottom w:val="none" w:sz="0" w:space="0" w:color="auto"/>
            <w:right w:val="none" w:sz="0" w:space="0" w:color="auto"/>
          </w:divBdr>
          <w:divsChild>
            <w:div w:id="152184465">
              <w:marLeft w:val="0"/>
              <w:marRight w:val="0"/>
              <w:marTop w:val="60"/>
              <w:marBottom w:val="0"/>
              <w:divBdr>
                <w:top w:val="none" w:sz="0" w:space="0" w:color="auto"/>
                <w:left w:val="none" w:sz="0" w:space="0" w:color="auto"/>
                <w:bottom w:val="none" w:sz="0" w:space="0" w:color="auto"/>
                <w:right w:val="none" w:sz="0" w:space="0" w:color="auto"/>
              </w:divBdr>
            </w:div>
            <w:div w:id="735855979">
              <w:marLeft w:val="0"/>
              <w:marRight w:val="0"/>
              <w:marTop w:val="60"/>
              <w:marBottom w:val="0"/>
              <w:divBdr>
                <w:top w:val="none" w:sz="0" w:space="0" w:color="auto"/>
                <w:left w:val="none" w:sz="0" w:space="0" w:color="auto"/>
                <w:bottom w:val="none" w:sz="0" w:space="0" w:color="auto"/>
                <w:right w:val="none" w:sz="0" w:space="0" w:color="auto"/>
              </w:divBdr>
            </w:div>
            <w:div w:id="785388774">
              <w:marLeft w:val="0"/>
              <w:marRight w:val="0"/>
              <w:marTop w:val="60"/>
              <w:marBottom w:val="0"/>
              <w:divBdr>
                <w:top w:val="none" w:sz="0" w:space="0" w:color="auto"/>
                <w:left w:val="none" w:sz="0" w:space="0" w:color="auto"/>
                <w:bottom w:val="none" w:sz="0" w:space="0" w:color="auto"/>
                <w:right w:val="none" w:sz="0" w:space="0" w:color="auto"/>
              </w:divBdr>
            </w:div>
            <w:div w:id="10359600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1/t20140123_24307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2020-02-19T14:05:00Z</dcterms:created>
  <dcterms:modified xsi:type="dcterms:W3CDTF">2020-02-19T14:05:00Z</dcterms:modified>
</cp:coreProperties>
</file>