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E20" w:rsidRPr="00C95E20" w:rsidRDefault="00C95E20" w:rsidP="00C95E20">
      <w:pPr>
        <w:widowControl/>
        <w:jc w:val="center"/>
        <w:rPr>
          <w:rFonts w:ascii="微软雅黑" w:eastAsia="微软雅黑" w:hAnsi="微软雅黑" w:cs="宋体"/>
          <w:color w:val="000000"/>
          <w:kern w:val="0"/>
          <w:sz w:val="18"/>
          <w:szCs w:val="18"/>
        </w:rPr>
      </w:pPr>
      <w:r w:rsidRPr="00C95E2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95E20" w:rsidRPr="00C95E20" w:rsidTr="00C95E2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5E20" w:rsidRPr="00C95E20">
              <w:trPr>
                <w:tblCellSpacing w:w="0" w:type="dxa"/>
              </w:trPr>
              <w:tc>
                <w:tcPr>
                  <w:tcW w:w="2500" w:type="pct"/>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hint="eastAsia"/>
                      <w:color w:val="686868"/>
                      <w:kern w:val="0"/>
                      <w:sz w:val="18"/>
                      <w:szCs w:val="18"/>
                    </w:rPr>
                  </w:pPr>
                  <w:r w:rsidRPr="00C95E20">
                    <w:rPr>
                      <w:rFonts w:ascii="宋体" w:eastAsia="宋体" w:hAnsi="宋体" w:cs="宋体"/>
                      <w:b/>
                      <w:bCs/>
                      <w:color w:val="686868"/>
                      <w:kern w:val="0"/>
                      <w:sz w:val="18"/>
                      <w:szCs w:val="18"/>
                    </w:rPr>
                    <w:t>索 引 号:</w:t>
                  </w:r>
                  <w:r w:rsidRPr="00C95E20">
                    <w:rPr>
                      <w:rFonts w:ascii="宋体" w:eastAsia="宋体" w:hAnsi="宋体" w:cs="宋体"/>
                      <w:color w:val="686868"/>
                      <w:kern w:val="0"/>
                      <w:sz w:val="18"/>
                      <w:szCs w:val="18"/>
                    </w:rPr>
                    <w:t>40000895X/2014-01154</w:t>
                  </w:r>
                </w:p>
              </w:tc>
              <w:tc>
                <w:tcPr>
                  <w:tcW w:w="0" w:type="auto"/>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分类:</w:t>
                  </w:r>
                  <w:r w:rsidRPr="00C95E20">
                    <w:rPr>
                      <w:rFonts w:ascii="宋体" w:eastAsia="宋体" w:hAnsi="宋体" w:cs="宋体"/>
                      <w:color w:val="686868"/>
                      <w:kern w:val="0"/>
                      <w:sz w:val="18"/>
                      <w:szCs w:val="18"/>
                    </w:rPr>
                    <w:t> 行政处罚 ; 行政处罚决定</w:t>
                  </w:r>
                </w:p>
              </w:tc>
            </w:tr>
          </w:tbl>
          <w:p w:rsidR="00C95E20" w:rsidRPr="00C95E20" w:rsidRDefault="00C95E20" w:rsidP="00C95E20">
            <w:pPr>
              <w:widowControl/>
              <w:jc w:val="left"/>
              <w:rPr>
                <w:rFonts w:ascii="宋体" w:eastAsia="宋体" w:hAnsi="宋体" w:cs="宋体"/>
                <w:color w:val="686868"/>
                <w:kern w:val="0"/>
                <w:sz w:val="18"/>
                <w:szCs w:val="18"/>
              </w:rPr>
            </w:pPr>
          </w:p>
        </w:tc>
      </w:tr>
      <w:tr w:rsidR="00C95E20" w:rsidRPr="00C95E20" w:rsidTr="00C95E2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5E20" w:rsidRPr="00C95E20">
              <w:trPr>
                <w:tblCellSpacing w:w="0" w:type="dxa"/>
              </w:trPr>
              <w:tc>
                <w:tcPr>
                  <w:tcW w:w="2500" w:type="pct"/>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发布机构:</w:t>
                  </w:r>
                  <w:r w:rsidRPr="00C95E2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发文日期:</w:t>
                  </w:r>
                  <w:r w:rsidRPr="00C95E20">
                    <w:rPr>
                      <w:rFonts w:ascii="宋体" w:eastAsia="宋体" w:hAnsi="宋体" w:cs="宋体"/>
                      <w:color w:val="686868"/>
                      <w:kern w:val="0"/>
                      <w:sz w:val="18"/>
                      <w:szCs w:val="18"/>
                    </w:rPr>
                    <w:t> 2014年01月09日</w:t>
                  </w:r>
                </w:p>
              </w:tc>
            </w:tr>
          </w:tbl>
          <w:p w:rsidR="00C95E20" w:rsidRPr="00C95E20" w:rsidRDefault="00C95E20" w:rsidP="00C95E20">
            <w:pPr>
              <w:widowControl/>
              <w:jc w:val="left"/>
              <w:rPr>
                <w:rFonts w:ascii="宋体" w:eastAsia="宋体" w:hAnsi="宋体" w:cs="宋体"/>
                <w:color w:val="686868"/>
                <w:kern w:val="0"/>
                <w:sz w:val="18"/>
                <w:szCs w:val="18"/>
              </w:rPr>
            </w:pPr>
          </w:p>
        </w:tc>
      </w:tr>
      <w:tr w:rsidR="00C95E20" w:rsidRPr="00C95E20" w:rsidTr="00C95E20">
        <w:trPr>
          <w:tblCellSpacing w:w="0" w:type="dxa"/>
          <w:jc w:val="center"/>
        </w:trPr>
        <w:tc>
          <w:tcPr>
            <w:tcW w:w="0" w:type="auto"/>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名　　称:</w:t>
            </w:r>
            <w:r w:rsidRPr="00C95E20">
              <w:rPr>
                <w:rFonts w:ascii="宋体" w:eastAsia="宋体" w:hAnsi="宋体" w:cs="宋体"/>
                <w:color w:val="686868"/>
                <w:kern w:val="0"/>
                <w:sz w:val="18"/>
                <w:szCs w:val="18"/>
              </w:rPr>
              <w:t> 中国证监会行政处罚决定书（成蓉）</w:t>
            </w:r>
          </w:p>
        </w:tc>
      </w:tr>
      <w:tr w:rsidR="00C95E20" w:rsidRPr="00C95E20" w:rsidTr="00C95E2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95E20" w:rsidRPr="00C95E20">
              <w:trPr>
                <w:tblCellSpacing w:w="0" w:type="dxa"/>
              </w:trPr>
              <w:tc>
                <w:tcPr>
                  <w:tcW w:w="2500" w:type="pct"/>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文　　号:</w:t>
                  </w:r>
                  <w:r w:rsidRPr="00C95E20">
                    <w:rPr>
                      <w:rFonts w:ascii="宋体" w:eastAsia="宋体" w:hAnsi="宋体" w:cs="宋体"/>
                      <w:color w:val="686868"/>
                      <w:kern w:val="0"/>
                      <w:sz w:val="18"/>
                      <w:szCs w:val="18"/>
                    </w:rPr>
                    <w:t> </w:t>
                  </w:r>
                  <w:bookmarkStart w:id="0" w:name="_GoBack"/>
                  <w:r w:rsidRPr="00C95E20">
                    <w:rPr>
                      <w:rFonts w:ascii="宋体" w:eastAsia="宋体" w:hAnsi="宋体" w:cs="宋体"/>
                      <w:color w:val="686868"/>
                      <w:kern w:val="0"/>
                      <w:sz w:val="18"/>
                      <w:szCs w:val="18"/>
                    </w:rPr>
                    <w:t>〔2014〕11号</w:t>
                  </w:r>
                  <w:bookmarkEnd w:id="0"/>
                </w:p>
              </w:tc>
              <w:tc>
                <w:tcPr>
                  <w:tcW w:w="0" w:type="auto"/>
                  <w:tcMar>
                    <w:top w:w="30" w:type="dxa"/>
                    <w:left w:w="30" w:type="dxa"/>
                    <w:bottom w:w="30" w:type="dxa"/>
                    <w:right w:w="30" w:type="dxa"/>
                  </w:tcMar>
                  <w:hideMark/>
                </w:tcPr>
                <w:p w:rsidR="00C95E20" w:rsidRPr="00C95E20" w:rsidRDefault="00C95E20" w:rsidP="00C95E20">
                  <w:pPr>
                    <w:widowControl/>
                    <w:jc w:val="left"/>
                    <w:rPr>
                      <w:rFonts w:ascii="宋体" w:eastAsia="宋体" w:hAnsi="宋体" w:cs="宋体"/>
                      <w:color w:val="686868"/>
                      <w:kern w:val="0"/>
                      <w:sz w:val="18"/>
                      <w:szCs w:val="18"/>
                    </w:rPr>
                  </w:pPr>
                  <w:r w:rsidRPr="00C95E20">
                    <w:rPr>
                      <w:rFonts w:ascii="宋体" w:eastAsia="宋体" w:hAnsi="宋体" w:cs="宋体"/>
                      <w:b/>
                      <w:bCs/>
                      <w:color w:val="686868"/>
                      <w:kern w:val="0"/>
                      <w:sz w:val="18"/>
                      <w:szCs w:val="18"/>
                    </w:rPr>
                    <w:t>主 题 词:</w:t>
                  </w:r>
                </w:p>
              </w:tc>
            </w:tr>
          </w:tbl>
          <w:p w:rsidR="00C95E20" w:rsidRPr="00C95E20" w:rsidRDefault="00C95E20" w:rsidP="00C95E20">
            <w:pPr>
              <w:widowControl/>
              <w:jc w:val="left"/>
              <w:rPr>
                <w:rFonts w:ascii="宋体" w:eastAsia="宋体" w:hAnsi="宋体" w:cs="宋体"/>
                <w:color w:val="686868"/>
                <w:kern w:val="0"/>
                <w:sz w:val="18"/>
                <w:szCs w:val="18"/>
              </w:rPr>
            </w:pPr>
          </w:p>
        </w:tc>
      </w:tr>
    </w:tbl>
    <w:p w:rsidR="00C95E20" w:rsidRPr="00C95E20" w:rsidRDefault="00C95E20" w:rsidP="00C95E20">
      <w:pPr>
        <w:widowControl/>
        <w:jc w:val="center"/>
        <w:rPr>
          <w:rFonts w:ascii="微软雅黑" w:eastAsia="微软雅黑" w:hAnsi="微软雅黑" w:cs="宋体"/>
          <w:color w:val="000000"/>
          <w:kern w:val="0"/>
          <w:sz w:val="18"/>
          <w:szCs w:val="18"/>
        </w:rPr>
      </w:pPr>
      <w:r w:rsidRPr="00C95E2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95E20" w:rsidRPr="00C95E20" w:rsidRDefault="00C95E20" w:rsidP="00C95E20">
      <w:pPr>
        <w:widowControl/>
        <w:shd w:val="clear" w:color="auto" w:fill="FFFFFF"/>
        <w:spacing w:after="240"/>
        <w:jc w:val="center"/>
        <w:rPr>
          <w:rFonts w:ascii="微软雅黑" w:eastAsia="微软雅黑" w:hAnsi="微软雅黑" w:cs="宋体" w:hint="eastAsia"/>
          <w:color w:val="000000"/>
          <w:kern w:val="0"/>
          <w:sz w:val="18"/>
          <w:szCs w:val="18"/>
        </w:rPr>
      </w:pPr>
      <w:r w:rsidRPr="00C95E20">
        <w:rPr>
          <w:rFonts w:ascii="微软雅黑" w:eastAsia="微软雅黑" w:hAnsi="微软雅黑" w:cs="宋体" w:hint="eastAsia"/>
          <w:color w:val="000000"/>
          <w:kern w:val="0"/>
          <w:sz w:val="18"/>
          <w:szCs w:val="18"/>
        </w:rPr>
        <w:br/>
      </w:r>
      <w:r w:rsidRPr="00C95E20">
        <w:rPr>
          <w:rFonts w:ascii="黑体" w:eastAsia="黑体" w:hAnsi="黑体" w:cs="宋体" w:hint="eastAsia"/>
          <w:b/>
          <w:bCs/>
          <w:color w:val="FF0000"/>
          <w:kern w:val="0"/>
          <w:sz w:val="36"/>
          <w:szCs w:val="36"/>
        </w:rPr>
        <w:t>中国证监会行政处罚决定书（成蓉）</w:t>
      </w:r>
    </w:p>
    <w:p w:rsidR="00C95E20" w:rsidRPr="00C95E20" w:rsidRDefault="00C95E20" w:rsidP="00C95E20">
      <w:pPr>
        <w:widowControl/>
        <w:shd w:val="clear" w:color="auto" w:fill="FFFFFF"/>
        <w:spacing w:line="360" w:lineRule="atLeast"/>
        <w:jc w:val="center"/>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w:t>
      </w:r>
      <w:r w:rsidRPr="00C95E20">
        <w:rPr>
          <w:rFonts w:ascii="Times New Roman" w:eastAsia="方正仿宋简体" w:hAnsi="Times New Roman" w:cs="Times New Roman" w:hint="eastAsia"/>
          <w:color w:val="000000"/>
          <w:kern w:val="0"/>
          <w:szCs w:val="21"/>
        </w:rPr>
        <w:t>2014</w:t>
      </w:r>
      <w:r w:rsidRPr="00C95E20">
        <w:rPr>
          <w:rFonts w:ascii="方正仿宋简体" w:eastAsia="方正仿宋简体" w:hAnsi="楷体" w:cs="宋体" w:hint="eastAsia"/>
          <w:color w:val="000000"/>
          <w:kern w:val="0"/>
          <w:szCs w:val="21"/>
        </w:rPr>
        <w:t>〕</w:t>
      </w:r>
      <w:r w:rsidRPr="00C95E20">
        <w:rPr>
          <w:rFonts w:ascii="Times New Roman" w:eastAsia="方正仿宋简体" w:hAnsi="Times New Roman" w:cs="Times New Roman" w:hint="eastAsia"/>
          <w:color w:val="000000"/>
          <w:kern w:val="0"/>
          <w:szCs w:val="21"/>
        </w:rPr>
        <w:t>11</w:t>
      </w:r>
      <w:r w:rsidRPr="00C95E20">
        <w:rPr>
          <w:rFonts w:ascii="方正仿宋简体" w:eastAsia="方正仿宋简体" w:hAnsi="楷体" w:cs="宋体" w:hint="eastAsia"/>
          <w:color w:val="000000"/>
          <w:kern w:val="0"/>
          <w:szCs w:val="21"/>
        </w:rPr>
        <w:t>号</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当事人：成蓉，女，</w:t>
      </w:r>
      <w:r w:rsidRPr="00C95E20">
        <w:rPr>
          <w:rFonts w:ascii="Times New Roman" w:eastAsia="方正仿宋简体" w:hAnsi="Times New Roman" w:cs="Times New Roman" w:hint="eastAsia"/>
          <w:color w:val="000000"/>
          <w:kern w:val="0"/>
          <w:szCs w:val="21"/>
        </w:rPr>
        <w:t>1970</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6</w:t>
      </w:r>
      <w:r w:rsidRPr="00C95E20">
        <w:rPr>
          <w:rFonts w:ascii="方正仿宋简体" w:eastAsia="方正仿宋简体" w:hAnsi="楷体" w:cs="宋体" w:hint="eastAsia"/>
          <w:color w:val="000000"/>
          <w:kern w:val="0"/>
          <w:szCs w:val="21"/>
        </w:rPr>
        <w:t>月出生，时任深圳宝安广播电视中心电视新闻部副部长，住址：广东省深圳市福田区丰田路</w:t>
      </w:r>
      <w:r w:rsidRPr="00C95E20">
        <w:rPr>
          <w:rFonts w:ascii="Times New Roman" w:eastAsia="方正仿宋简体" w:hAnsi="Times New Roman" w:cs="Times New Roman" w:hint="eastAsia"/>
          <w:color w:val="000000"/>
          <w:kern w:val="0"/>
          <w:szCs w:val="21"/>
        </w:rPr>
        <w:t>2</w:t>
      </w:r>
      <w:r w:rsidRPr="00C95E20">
        <w:rPr>
          <w:rFonts w:ascii="方正仿宋简体" w:eastAsia="方正仿宋简体" w:hAnsi="楷体" w:cs="宋体" w:hint="eastAsia"/>
          <w:color w:val="000000"/>
          <w:kern w:val="0"/>
          <w:szCs w:val="21"/>
        </w:rPr>
        <w:t>号香</w:t>
      </w:r>
      <w:proofErr w:type="gramStart"/>
      <w:r w:rsidRPr="00C95E20">
        <w:rPr>
          <w:rFonts w:ascii="方正仿宋简体" w:eastAsia="方正仿宋简体" w:hAnsi="楷体" w:cs="宋体" w:hint="eastAsia"/>
          <w:color w:val="000000"/>
          <w:kern w:val="0"/>
          <w:szCs w:val="21"/>
        </w:rPr>
        <w:t>榭</w:t>
      </w:r>
      <w:proofErr w:type="gramEnd"/>
      <w:r w:rsidRPr="00C95E20">
        <w:rPr>
          <w:rFonts w:ascii="方正仿宋简体" w:eastAsia="方正仿宋简体" w:hAnsi="楷体" w:cs="宋体" w:hint="eastAsia"/>
          <w:color w:val="000000"/>
          <w:kern w:val="0"/>
          <w:szCs w:val="21"/>
        </w:rPr>
        <w:t>里花园</w:t>
      </w:r>
      <w:r w:rsidRPr="00C95E20">
        <w:rPr>
          <w:rFonts w:ascii="Times New Roman" w:eastAsia="方正仿宋简体" w:hAnsi="Times New Roman" w:cs="Times New Roman" w:hint="eastAsia"/>
          <w:color w:val="000000"/>
          <w:kern w:val="0"/>
          <w:szCs w:val="21"/>
        </w:rPr>
        <w:t>6</w:t>
      </w:r>
      <w:r w:rsidRPr="00C95E20">
        <w:rPr>
          <w:rFonts w:ascii="方正仿宋简体" w:eastAsia="方正仿宋简体" w:hAnsi="楷体" w:cs="宋体" w:hint="eastAsia"/>
          <w:color w:val="000000"/>
          <w:kern w:val="0"/>
          <w:szCs w:val="21"/>
        </w:rPr>
        <w:t>栋。</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依据《中华人民共和国证券法》（以下简称《证券法》）的有关规定，我会对成蓉涉嫌内幕交易行为进行了立案调查、审理，并依法向当事人告知了</w:t>
      </w:r>
      <w:proofErr w:type="gramStart"/>
      <w:r w:rsidRPr="00C95E20">
        <w:rPr>
          <w:rFonts w:ascii="方正仿宋简体" w:eastAsia="方正仿宋简体" w:hAnsi="楷体" w:cs="宋体" w:hint="eastAsia"/>
          <w:color w:val="000000"/>
          <w:kern w:val="0"/>
          <w:szCs w:val="21"/>
        </w:rPr>
        <w:t>作出</w:t>
      </w:r>
      <w:proofErr w:type="gramEnd"/>
      <w:r w:rsidRPr="00C95E20">
        <w:rPr>
          <w:rFonts w:ascii="方正仿宋简体" w:eastAsia="方正仿宋简体" w:hAnsi="楷体" w:cs="宋体" w:hint="eastAsia"/>
          <w:color w:val="000000"/>
          <w:kern w:val="0"/>
          <w:szCs w:val="21"/>
        </w:rPr>
        <w:t>行政处罚的事实、理由、依据及当事人依法享有的权利。当事人成蓉提出了陈述申辩意见，但未要求听证。本案现已调查、审理终结。</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经查明，成蓉存在以下违法事实：</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黑体简体" w:eastAsia="方正黑体简体" w:hAnsi="楷体" w:cs="宋体" w:hint="eastAsia"/>
          <w:b/>
          <w:bCs/>
          <w:color w:val="000000"/>
          <w:kern w:val="0"/>
          <w:szCs w:val="21"/>
        </w:rPr>
        <w:t>一、内幕信息的形成及敏感期的认定</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2011年</w:t>
      </w:r>
      <w:r w:rsidRPr="00C95E20">
        <w:rPr>
          <w:rFonts w:ascii="Times New Roman" w:eastAsia="方正仿宋简体" w:hAnsi="Times New Roman" w:cs="Times New Roman" w:hint="eastAsia"/>
          <w:color w:val="000000"/>
          <w:kern w:val="0"/>
          <w:szCs w:val="21"/>
        </w:rPr>
        <w:t>10</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18</w:t>
      </w:r>
      <w:r w:rsidRPr="00C95E20">
        <w:rPr>
          <w:rFonts w:ascii="方正仿宋简体" w:eastAsia="方正仿宋简体" w:hAnsi="楷体" w:cs="宋体" w:hint="eastAsia"/>
          <w:color w:val="000000"/>
          <w:kern w:val="0"/>
          <w:szCs w:val="21"/>
        </w:rPr>
        <w:t>日，深圳广电集团向深圳市委常委、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C95E20">
        <w:rPr>
          <w:rFonts w:ascii="Times New Roman" w:eastAsia="楷体" w:hAnsi="Times New Roman" w:cs="Times New Roman"/>
          <w:color w:val="000000"/>
          <w:kern w:val="0"/>
          <w:szCs w:val="21"/>
        </w:rPr>
        <w:t>7,600</w:t>
      </w:r>
      <w:r w:rsidRPr="00C95E20">
        <w:rPr>
          <w:rFonts w:ascii="方正仿宋简体" w:eastAsia="方正仿宋简体" w:hAnsi="楷体" w:cs="宋体" w:hint="eastAsia"/>
          <w:color w:val="000000"/>
          <w:kern w:val="0"/>
          <w:szCs w:val="21"/>
        </w:rPr>
        <w:t>万股，购买深圳天宝公司以及深圳天隆公司两项资产，该交易资产的预估值为</w:t>
      </w:r>
      <w:r w:rsidRPr="00C95E20">
        <w:rPr>
          <w:rFonts w:ascii="Times New Roman" w:eastAsia="方正仿宋简体" w:hAnsi="Times New Roman" w:cs="Times New Roman" w:hint="eastAsia"/>
          <w:color w:val="000000"/>
          <w:kern w:val="0"/>
          <w:szCs w:val="21"/>
        </w:rPr>
        <w:t>13.07</w:t>
      </w:r>
      <w:r w:rsidRPr="00C95E20">
        <w:rPr>
          <w:rFonts w:ascii="方正仿宋简体" w:eastAsia="方正仿宋简体" w:hAnsi="楷体" w:cs="宋体" w:hint="eastAsia"/>
          <w:color w:val="000000"/>
          <w:kern w:val="0"/>
          <w:szCs w:val="21"/>
        </w:rPr>
        <w:t>亿元，占上市公司最近一期经审计年度报告披露总资产的</w:t>
      </w:r>
      <w:r w:rsidRPr="00C95E20">
        <w:rPr>
          <w:rFonts w:ascii="Times New Roman" w:eastAsia="方正仿宋简体" w:hAnsi="Times New Roman" w:cs="Times New Roman" w:hint="eastAsia"/>
          <w:color w:val="000000"/>
          <w:kern w:val="0"/>
          <w:szCs w:val="21"/>
        </w:rPr>
        <w:t>67%</w:t>
      </w:r>
      <w:r w:rsidRPr="00C95E20">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C95E20">
        <w:rPr>
          <w:rFonts w:ascii="Times New Roman" w:eastAsia="方正仿宋简体" w:hAnsi="Times New Roman" w:cs="Times New Roman" w:hint="eastAsia"/>
          <w:color w:val="000000"/>
          <w:kern w:val="0"/>
          <w:szCs w:val="21"/>
        </w:rPr>
        <w:t>2011</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10</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18</w:t>
      </w:r>
      <w:r w:rsidRPr="00C95E20">
        <w:rPr>
          <w:rFonts w:ascii="方正仿宋简体" w:eastAsia="方正仿宋简体" w:hAnsi="楷体" w:cs="宋体" w:hint="eastAsia"/>
          <w:color w:val="000000"/>
          <w:kern w:val="0"/>
          <w:szCs w:val="21"/>
        </w:rPr>
        <w:t>日至</w:t>
      </w:r>
      <w:r w:rsidRPr="00C95E20">
        <w:rPr>
          <w:rFonts w:ascii="Times New Roman" w:eastAsia="方正仿宋简体" w:hAnsi="Times New Roman" w:cs="Times New Roman" w:hint="eastAsia"/>
          <w:color w:val="000000"/>
          <w:kern w:val="0"/>
          <w:szCs w:val="21"/>
        </w:rPr>
        <w:t>2012</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6</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11</w:t>
      </w:r>
      <w:r w:rsidRPr="00C95E20">
        <w:rPr>
          <w:rFonts w:ascii="方正仿宋简体" w:eastAsia="方正仿宋简体" w:hAnsi="楷体" w:cs="宋体" w:hint="eastAsia"/>
          <w:color w:val="000000"/>
          <w:kern w:val="0"/>
          <w:szCs w:val="21"/>
        </w:rPr>
        <w:t>日。</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黑体简体" w:eastAsia="方正黑体简体" w:hAnsi="楷体" w:cs="宋体" w:hint="eastAsia"/>
          <w:color w:val="000000"/>
          <w:kern w:val="0"/>
          <w:szCs w:val="21"/>
        </w:rPr>
        <w:t>二、成蓉知悉内幕信息及进行内幕交易情况</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成蓉，时任深圳宝安广播电视中心电视新闻部副部长。</w:t>
      </w:r>
      <w:r w:rsidRPr="00C95E20">
        <w:rPr>
          <w:rFonts w:ascii="Times New Roman" w:eastAsia="方正仿宋简体" w:hAnsi="Times New Roman" w:cs="Times New Roman" w:hint="eastAsia"/>
          <w:color w:val="000000"/>
          <w:kern w:val="0"/>
          <w:szCs w:val="21"/>
        </w:rPr>
        <w:t>2011</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12</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27</w:t>
      </w:r>
      <w:r w:rsidRPr="00C95E20">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成蓉参会，成蓉在询问笔录中也承认参会。成蓉知悉内幕信息时间不晚于</w:t>
      </w:r>
      <w:r w:rsidRPr="00C95E20">
        <w:rPr>
          <w:rFonts w:ascii="Times New Roman" w:eastAsia="方正仿宋简体" w:hAnsi="Times New Roman" w:cs="Times New Roman" w:hint="eastAsia"/>
          <w:color w:val="000000"/>
          <w:kern w:val="0"/>
          <w:szCs w:val="21"/>
        </w:rPr>
        <w:t>2011</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12</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27</w:t>
      </w:r>
      <w:r w:rsidRPr="00C95E20">
        <w:rPr>
          <w:rFonts w:ascii="方正仿宋简体" w:eastAsia="方正仿宋简体" w:hAnsi="楷体" w:cs="宋体" w:hint="eastAsia"/>
          <w:color w:val="000000"/>
          <w:kern w:val="0"/>
          <w:szCs w:val="21"/>
        </w:rPr>
        <w:t>日。</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“成蓉”证券账户由其本人控制，账户内资金是自有资金，</w:t>
      </w:r>
      <w:r w:rsidRPr="00C95E20">
        <w:rPr>
          <w:rFonts w:ascii="Times New Roman" w:eastAsia="方正仿宋简体" w:hAnsi="Times New Roman" w:cs="Times New Roman" w:hint="eastAsia"/>
          <w:color w:val="000000"/>
          <w:kern w:val="0"/>
          <w:szCs w:val="21"/>
        </w:rPr>
        <w:t>2012</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2</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9</w:t>
      </w:r>
      <w:r w:rsidRPr="00C95E20">
        <w:rPr>
          <w:rFonts w:ascii="方正仿宋简体" w:eastAsia="方正仿宋简体" w:hAnsi="楷体" w:cs="宋体" w:hint="eastAsia"/>
          <w:color w:val="000000"/>
          <w:kern w:val="0"/>
          <w:szCs w:val="21"/>
        </w:rPr>
        <w:t>日至</w:t>
      </w:r>
      <w:r w:rsidRPr="00C95E20">
        <w:rPr>
          <w:rFonts w:ascii="Times New Roman" w:eastAsia="方正仿宋简体" w:hAnsi="Times New Roman" w:cs="Times New Roman" w:hint="eastAsia"/>
          <w:color w:val="000000"/>
          <w:kern w:val="0"/>
          <w:szCs w:val="21"/>
        </w:rPr>
        <w:t>6</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11</w:t>
      </w:r>
      <w:r w:rsidRPr="00C95E20">
        <w:rPr>
          <w:rFonts w:ascii="方正仿宋简体" w:eastAsia="方正仿宋简体" w:hAnsi="楷体" w:cs="宋体" w:hint="eastAsia"/>
          <w:color w:val="000000"/>
          <w:kern w:val="0"/>
          <w:szCs w:val="21"/>
        </w:rPr>
        <w:t>日期间，该账户买入天威视</w:t>
      </w:r>
      <w:proofErr w:type="gramStart"/>
      <w:r w:rsidRPr="00C95E20">
        <w:rPr>
          <w:rFonts w:ascii="方正仿宋简体" w:eastAsia="方正仿宋简体" w:hAnsi="楷体" w:cs="宋体" w:hint="eastAsia"/>
          <w:color w:val="000000"/>
          <w:kern w:val="0"/>
          <w:szCs w:val="21"/>
        </w:rPr>
        <w:t>讯股票</w:t>
      </w:r>
      <w:proofErr w:type="gramEnd"/>
      <w:r w:rsidRPr="00C95E20">
        <w:rPr>
          <w:rFonts w:ascii="Times New Roman" w:eastAsia="方正仿宋简体" w:hAnsi="Times New Roman" w:cs="Times New Roman" w:hint="eastAsia"/>
          <w:color w:val="000000"/>
          <w:kern w:val="0"/>
          <w:szCs w:val="21"/>
        </w:rPr>
        <w:t>110,032</w:t>
      </w:r>
      <w:r w:rsidRPr="00C95E20">
        <w:rPr>
          <w:rFonts w:ascii="方正仿宋简体" w:eastAsia="方正仿宋简体" w:hAnsi="楷体" w:cs="宋体" w:hint="eastAsia"/>
          <w:color w:val="000000"/>
          <w:kern w:val="0"/>
          <w:szCs w:val="21"/>
        </w:rPr>
        <w:t>股，成交金额</w:t>
      </w:r>
      <w:r w:rsidRPr="00C95E20">
        <w:rPr>
          <w:rFonts w:ascii="Times New Roman" w:eastAsia="方正仿宋简体" w:hAnsi="Times New Roman" w:cs="Times New Roman" w:hint="eastAsia"/>
          <w:color w:val="000000"/>
          <w:kern w:val="0"/>
          <w:szCs w:val="21"/>
        </w:rPr>
        <w:t>1,693,408.54</w:t>
      </w:r>
      <w:r w:rsidRPr="00C95E20">
        <w:rPr>
          <w:rFonts w:ascii="方正仿宋简体" w:eastAsia="方正仿宋简体" w:hAnsi="楷体" w:cs="宋体" w:hint="eastAsia"/>
          <w:color w:val="000000"/>
          <w:kern w:val="0"/>
          <w:szCs w:val="21"/>
        </w:rPr>
        <w:t>元，卖出</w:t>
      </w:r>
      <w:r w:rsidRPr="00C95E20">
        <w:rPr>
          <w:rFonts w:ascii="Times New Roman" w:eastAsia="方正仿宋简体" w:hAnsi="Times New Roman" w:cs="Times New Roman" w:hint="eastAsia"/>
          <w:color w:val="000000"/>
          <w:kern w:val="0"/>
          <w:szCs w:val="21"/>
        </w:rPr>
        <w:t>110,032</w:t>
      </w:r>
      <w:r w:rsidRPr="00C95E20">
        <w:rPr>
          <w:rFonts w:ascii="方正仿宋简体" w:eastAsia="方正仿宋简体" w:hAnsi="楷体" w:cs="宋体" w:hint="eastAsia"/>
          <w:color w:val="000000"/>
          <w:kern w:val="0"/>
          <w:szCs w:val="21"/>
        </w:rPr>
        <w:t>股，成交金额</w:t>
      </w:r>
      <w:r w:rsidRPr="00C95E20">
        <w:rPr>
          <w:rFonts w:ascii="Times New Roman" w:eastAsia="方正仿宋简体" w:hAnsi="Times New Roman" w:cs="Times New Roman" w:hint="eastAsia"/>
          <w:color w:val="000000"/>
          <w:kern w:val="0"/>
          <w:szCs w:val="21"/>
        </w:rPr>
        <w:t>1,803,203.89</w:t>
      </w:r>
      <w:r w:rsidRPr="00C95E20">
        <w:rPr>
          <w:rFonts w:ascii="方正仿宋简体" w:eastAsia="方正仿宋简体" w:hAnsi="楷体" w:cs="宋体" w:hint="eastAsia"/>
          <w:color w:val="000000"/>
          <w:kern w:val="0"/>
          <w:szCs w:val="21"/>
        </w:rPr>
        <w:t>元，盈利</w:t>
      </w:r>
      <w:r w:rsidRPr="00C95E20">
        <w:rPr>
          <w:rFonts w:ascii="Times New Roman" w:eastAsia="方正仿宋简体" w:hAnsi="Times New Roman" w:cs="Times New Roman" w:hint="eastAsia"/>
          <w:color w:val="000000"/>
          <w:kern w:val="0"/>
          <w:szCs w:val="21"/>
        </w:rPr>
        <w:t>97,502.31</w:t>
      </w:r>
      <w:r w:rsidRPr="00C95E20">
        <w:rPr>
          <w:rFonts w:ascii="方正仿宋简体" w:eastAsia="方正仿宋简体" w:hAnsi="楷体" w:cs="宋体" w:hint="eastAsia"/>
          <w:color w:val="000000"/>
          <w:kern w:val="0"/>
          <w:szCs w:val="21"/>
        </w:rPr>
        <w:t>元。</w:t>
      </w:r>
    </w:p>
    <w:p w:rsidR="00C95E20" w:rsidRPr="00C95E20" w:rsidRDefault="00C95E20" w:rsidP="00C95E20">
      <w:pPr>
        <w:widowControl/>
        <w:shd w:val="clear" w:color="auto" w:fill="FFFFFF"/>
        <w:spacing w:line="360" w:lineRule="atLeast"/>
        <w:ind w:firstLine="420"/>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lastRenderedPageBreak/>
        <w:t>上述违法事实，有交易流水、账簿资料、相关协议及当事人询问笔录等证据证明，足以认定。</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C95E20">
        <w:rPr>
          <w:rFonts w:ascii="方正仿宋简体" w:eastAsia="方正仿宋简体" w:hAnsi="楷体" w:cs="宋体" w:hint="eastAsia"/>
          <w:color w:val="000000"/>
          <w:kern w:val="0"/>
          <w:szCs w:val="21"/>
        </w:rPr>
        <w:t>成蓉在</w:t>
      </w:r>
      <w:proofErr w:type="gramEnd"/>
      <w:r w:rsidRPr="00C95E20">
        <w:rPr>
          <w:rFonts w:ascii="方正仿宋简体" w:eastAsia="方正仿宋简体" w:hAnsi="楷体" w:cs="宋体" w:hint="eastAsia"/>
          <w:color w:val="000000"/>
          <w:kern w:val="0"/>
          <w:szCs w:val="21"/>
        </w:rPr>
        <w:t>其申辩材料中提出：广电网络整合工作早就在</w:t>
      </w:r>
      <w:r w:rsidRPr="00C95E20">
        <w:rPr>
          <w:rFonts w:ascii="Times New Roman" w:eastAsia="方正仿宋简体" w:hAnsi="Times New Roman" w:cs="Times New Roman" w:hint="eastAsia"/>
          <w:color w:val="000000"/>
          <w:kern w:val="0"/>
          <w:szCs w:val="21"/>
        </w:rPr>
        <w:t>2008</w:t>
      </w:r>
      <w:r w:rsidRPr="00C95E20">
        <w:rPr>
          <w:rFonts w:ascii="方正仿宋简体" w:eastAsia="方正仿宋简体" w:hAnsi="楷体" w:cs="宋体" w:hint="eastAsia"/>
          <w:color w:val="000000"/>
          <w:kern w:val="0"/>
          <w:szCs w:val="21"/>
        </w:rPr>
        <w:t>年就已经被广电集团大多数员工知晓，并不是所谓内幕信息。</w:t>
      </w:r>
      <w:r w:rsidRPr="00C95E20">
        <w:rPr>
          <w:rFonts w:ascii="Times New Roman" w:eastAsia="方正仿宋简体" w:hAnsi="Times New Roman" w:cs="Times New Roman" w:hint="eastAsia"/>
          <w:color w:val="000000"/>
          <w:kern w:val="0"/>
          <w:szCs w:val="21"/>
        </w:rPr>
        <w:t>2011</w:t>
      </w:r>
      <w:r w:rsidRPr="00C95E20">
        <w:rPr>
          <w:rFonts w:ascii="方正仿宋简体" w:eastAsia="方正仿宋简体" w:hAnsi="楷体" w:cs="宋体" w:hint="eastAsia"/>
          <w:color w:val="000000"/>
          <w:kern w:val="0"/>
          <w:szCs w:val="21"/>
        </w:rPr>
        <w:t>年</w:t>
      </w:r>
      <w:r w:rsidRPr="00C95E20">
        <w:rPr>
          <w:rFonts w:ascii="Times New Roman" w:eastAsia="方正仿宋简体" w:hAnsi="Times New Roman" w:cs="Times New Roman" w:hint="eastAsia"/>
          <w:color w:val="000000"/>
          <w:kern w:val="0"/>
          <w:szCs w:val="21"/>
        </w:rPr>
        <w:t>12</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27</w:t>
      </w:r>
      <w:r w:rsidRPr="00C95E20">
        <w:rPr>
          <w:rFonts w:ascii="方正仿宋简体" w:eastAsia="方正仿宋简体" w:hAnsi="楷体" w:cs="宋体" w:hint="eastAsia"/>
          <w:color w:val="000000"/>
          <w:kern w:val="0"/>
          <w:szCs w:val="21"/>
        </w:rPr>
        <w:t>日的班子考评会议上提到网络整合已进入操作阶段，其并未放在心上，会后也未立即因此买入天威股票。自身买卖天威视</w:t>
      </w:r>
      <w:proofErr w:type="gramStart"/>
      <w:r w:rsidRPr="00C95E20">
        <w:rPr>
          <w:rFonts w:ascii="方正仿宋简体" w:eastAsia="方正仿宋简体" w:hAnsi="楷体" w:cs="宋体" w:hint="eastAsia"/>
          <w:color w:val="000000"/>
          <w:kern w:val="0"/>
          <w:szCs w:val="21"/>
        </w:rPr>
        <w:t>讯股票</w:t>
      </w:r>
      <w:proofErr w:type="gramEnd"/>
      <w:r w:rsidRPr="00C95E20">
        <w:rPr>
          <w:rFonts w:ascii="方正仿宋简体" w:eastAsia="方正仿宋简体" w:hAnsi="楷体" w:cs="宋体" w:hint="eastAsia"/>
          <w:color w:val="000000"/>
          <w:kern w:val="0"/>
          <w:szCs w:val="21"/>
        </w:rPr>
        <w:t>的决策依靠股票走势和自身经验，与内幕信息无关。</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经复核，我会认为：第一，天威视</w:t>
      </w:r>
      <w:proofErr w:type="gramStart"/>
      <w:r w:rsidRPr="00C95E20">
        <w:rPr>
          <w:rFonts w:ascii="方正仿宋简体" w:eastAsia="方正仿宋简体" w:hAnsi="楷体" w:cs="宋体" w:hint="eastAsia"/>
          <w:color w:val="000000"/>
          <w:kern w:val="0"/>
          <w:szCs w:val="21"/>
        </w:rPr>
        <w:t>讯收购</w:t>
      </w:r>
      <w:proofErr w:type="gramEnd"/>
      <w:r w:rsidRPr="00C95E20">
        <w:rPr>
          <w:rFonts w:ascii="方正仿宋简体" w:eastAsia="方正仿宋简体" w:hAnsi="楷体" w:cs="宋体" w:hint="eastAsia"/>
          <w:color w:val="000000"/>
          <w:kern w:val="0"/>
          <w:szCs w:val="21"/>
        </w:rPr>
        <w:t>深圳天宝、深圳天隆公司在未公开前属于《证券法》第七十五条规定的内幕信息。第二，其买入天威视</w:t>
      </w:r>
      <w:proofErr w:type="gramStart"/>
      <w:r w:rsidRPr="00C95E20">
        <w:rPr>
          <w:rFonts w:ascii="方正仿宋简体" w:eastAsia="方正仿宋简体" w:hAnsi="楷体" w:cs="宋体" w:hint="eastAsia"/>
          <w:color w:val="000000"/>
          <w:kern w:val="0"/>
          <w:szCs w:val="21"/>
        </w:rPr>
        <w:t>讯股票</w:t>
      </w:r>
      <w:proofErr w:type="gramEnd"/>
      <w:r w:rsidRPr="00C95E20">
        <w:rPr>
          <w:rFonts w:ascii="方正仿宋简体" w:eastAsia="方正仿宋简体" w:hAnsi="楷体" w:cs="宋体" w:hint="eastAsia"/>
          <w:color w:val="000000"/>
          <w:kern w:val="0"/>
          <w:szCs w:val="21"/>
        </w:rPr>
        <w:t>的时间仍然在内幕信息敏感期内。第三，2011年年底的经营班子考评会，明确提到网络整合已经进入操作阶段，市领导已签署文件，相对市场其他投资者，</w:t>
      </w:r>
      <w:proofErr w:type="gramStart"/>
      <w:r w:rsidRPr="00C95E20">
        <w:rPr>
          <w:rFonts w:ascii="方正仿宋简体" w:eastAsia="方正仿宋简体" w:hAnsi="楷体" w:cs="宋体" w:hint="eastAsia"/>
          <w:color w:val="000000"/>
          <w:kern w:val="0"/>
          <w:szCs w:val="21"/>
        </w:rPr>
        <w:t>成蓉清楚</w:t>
      </w:r>
      <w:proofErr w:type="gramEnd"/>
      <w:r w:rsidRPr="00C95E20">
        <w:rPr>
          <w:rFonts w:ascii="方正仿宋简体" w:eastAsia="方正仿宋简体" w:hAnsi="楷体" w:cs="宋体" w:hint="eastAsia"/>
          <w:color w:val="000000"/>
          <w:kern w:val="0"/>
          <w:szCs w:val="21"/>
        </w:rPr>
        <w:t>知晓该事件情况，敏感期内交易股票可以认定为内幕交易。因此，成蓉提出的“买卖天威视讯股票的决策依靠股票走势和自身经验，与内幕信息无关”的理由可信度较低，我会不予采纳。</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成蓉获知内幕信息后，利用其本人证券账户在内幕信息敏感期内交易“天威视讯”，其行为违反《证券法》第七十六条关于“禁止内幕交易”的规定。</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根据当事人违法行为的事实、性质、情节与社会危害程度，依据《证券法》第二百零二条的规定，我会决定：没收成蓉违法所得</w:t>
      </w:r>
      <w:r w:rsidRPr="00C95E20">
        <w:rPr>
          <w:rFonts w:ascii="Times New Roman" w:eastAsia="方正仿宋简体" w:hAnsi="Times New Roman" w:cs="Times New Roman" w:hint="eastAsia"/>
          <w:color w:val="000000"/>
          <w:kern w:val="0"/>
          <w:szCs w:val="21"/>
        </w:rPr>
        <w:t>97,502.31</w:t>
      </w:r>
      <w:r w:rsidRPr="00C95E20">
        <w:rPr>
          <w:rFonts w:ascii="方正仿宋简体" w:eastAsia="方正仿宋简体" w:hAnsi="楷体" w:cs="宋体" w:hint="eastAsia"/>
          <w:color w:val="000000"/>
          <w:kern w:val="0"/>
          <w:szCs w:val="21"/>
        </w:rPr>
        <w:t>元，处以</w:t>
      </w:r>
      <w:r w:rsidRPr="00C95E20">
        <w:rPr>
          <w:rFonts w:ascii="Times New Roman" w:eastAsia="方正仿宋简体" w:hAnsi="Times New Roman" w:cs="Times New Roman" w:hint="eastAsia"/>
          <w:color w:val="000000"/>
          <w:kern w:val="0"/>
          <w:szCs w:val="21"/>
        </w:rPr>
        <w:t>10</w:t>
      </w:r>
      <w:r w:rsidRPr="00C95E20">
        <w:rPr>
          <w:rFonts w:ascii="方正仿宋简体" w:eastAsia="方正仿宋简体" w:hAnsi="楷体" w:cs="宋体" w:hint="eastAsia"/>
          <w:color w:val="000000"/>
          <w:kern w:val="0"/>
          <w:szCs w:val="21"/>
        </w:rPr>
        <w:t>万元罚款。</w:t>
      </w:r>
    </w:p>
    <w:p w:rsidR="00C95E20" w:rsidRPr="00C95E20" w:rsidRDefault="00C95E20" w:rsidP="00C95E2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上述当事人应自收到本处罚决定书之日起</w:t>
      </w:r>
      <w:r w:rsidRPr="00C95E20">
        <w:rPr>
          <w:rFonts w:ascii="Times New Roman" w:eastAsia="方正仿宋简体" w:hAnsi="Times New Roman" w:cs="Times New Roman" w:hint="eastAsia"/>
          <w:color w:val="000000"/>
          <w:kern w:val="0"/>
          <w:szCs w:val="21"/>
        </w:rPr>
        <w:t>15</w:t>
      </w:r>
      <w:r w:rsidRPr="00C95E20">
        <w:rPr>
          <w:rFonts w:ascii="方正仿宋简体" w:eastAsia="方正仿宋简体" w:hAnsi="楷体" w:cs="宋体" w:hint="eastAsia"/>
          <w:color w:val="000000"/>
          <w:kern w:val="0"/>
          <w:szCs w:val="21"/>
        </w:rPr>
        <w:t>日内，将罚没款汇交中国证券监督管理委员会（开户银行：中信银行总行营业部、账号：</w:t>
      </w:r>
      <w:r w:rsidRPr="00C95E20">
        <w:rPr>
          <w:rFonts w:ascii="Times New Roman" w:eastAsia="方正仿宋简体" w:hAnsi="Times New Roman" w:cs="Times New Roman" w:hint="eastAsia"/>
          <w:color w:val="000000"/>
          <w:kern w:val="0"/>
          <w:szCs w:val="21"/>
        </w:rPr>
        <w:t>7111010189800000162</w:t>
      </w:r>
      <w:r w:rsidRPr="00C95E2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C95E20">
        <w:rPr>
          <w:rFonts w:ascii="Times New Roman" w:eastAsia="方正仿宋简体" w:hAnsi="Times New Roman" w:cs="Times New Roman" w:hint="eastAsia"/>
          <w:color w:val="000000"/>
          <w:kern w:val="0"/>
          <w:szCs w:val="21"/>
        </w:rPr>
        <w:t>60</w:t>
      </w:r>
      <w:r w:rsidRPr="00C95E20">
        <w:rPr>
          <w:rFonts w:ascii="方正仿宋简体" w:eastAsia="方正仿宋简体" w:hAnsi="楷体" w:cs="宋体" w:hint="eastAsia"/>
          <w:color w:val="000000"/>
          <w:kern w:val="0"/>
          <w:szCs w:val="21"/>
        </w:rPr>
        <w:t>日内向中国证券监督管理委员会申请行政复议；也可以在收到本处罚决定书之日起</w:t>
      </w:r>
      <w:r w:rsidRPr="00C95E20">
        <w:rPr>
          <w:rFonts w:ascii="Times New Roman" w:eastAsia="方正仿宋简体" w:hAnsi="Times New Roman" w:cs="Times New Roman" w:hint="eastAsia"/>
          <w:color w:val="000000"/>
          <w:kern w:val="0"/>
          <w:szCs w:val="21"/>
        </w:rPr>
        <w:t>3</w:t>
      </w:r>
      <w:r w:rsidRPr="00C95E20">
        <w:rPr>
          <w:rFonts w:ascii="方正仿宋简体" w:eastAsia="方正仿宋简体" w:hAnsi="楷体" w:cs="宋体" w:hint="eastAsia"/>
          <w:color w:val="000000"/>
          <w:kern w:val="0"/>
          <w:szCs w:val="21"/>
        </w:rPr>
        <w:t>个月内直接向有管辖权的人民法院提起诉讼。复议和诉讼期间，上述决定不停止执行。</w:t>
      </w:r>
      <w:r w:rsidRPr="00C95E20">
        <w:rPr>
          <w:rFonts w:ascii="Calibri" w:eastAsia="方正仿宋简体" w:hAnsi="Calibri" w:cs="Calibri"/>
          <w:color w:val="000000"/>
          <w:kern w:val="0"/>
          <w:szCs w:val="21"/>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Calibri" w:eastAsia="楷体" w:hAnsi="Calibri" w:cs="Calibri"/>
          <w:color w:val="000000"/>
          <w:kern w:val="0"/>
          <w:sz w:val="24"/>
          <w:szCs w:val="24"/>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Calibri" w:eastAsia="楷体" w:hAnsi="Calibri" w:cs="Calibri"/>
          <w:color w:val="000000"/>
          <w:kern w:val="0"/>
          <w:sz w:val="24"/>
          <w:szCs w:val="24"/>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Calibri" w:eastAsia="楷体" w:hAnsi="Calibri" w:cs="Calibri"/>
          <w:color w:val="000000"/>
          <w:kern w:val="0"/>
          <w:sz w:val="24"/>
          <w:szCs w:val="24"/>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Calibri" w:eastAsia="楷体" w:hAnsi="Calibri" w:cs="Calibri"/>
          <w:color w:val="000000"/>
          <w:kern w:val="0"/>
          <w:sz w:val="24"/>
          <w:szCs w:val="24"/>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中国证监会</w:t>
      </w:r>
      <w:r w:rsidRPr="00C95E20">
        <w:rPr>
          <w:rFonts w:ascii="Calibri" w:eastAsia="方正仿宋简体" w:hAnsi="Calibri" w:cs="Calibri"/>
          <w:color w:val="000000"/>
          <w:kern w:val="0"/>
          <w:szCs w:val="21"/>
        </w:rPr>
        <w:t> </w:t>
      </w:r>
    </w:p>
    <w:p w:rsidR="00C95E20" w:rsidRPr="00C95E20" w:rsidRDefault="00C95E20" w:rsidP="00C95E2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95E20">
        <w:rPr>
          <w:rFonts w:ascii="方正仿宋简体" w:eastAsia="方正仿宋简体" w:hAnsi="楷体" w:cs="宋体" w:hint="eastAsia"/>
          <w:color w:val="000000"/>
          <w:kern w:val="0"/>
          <w:szCs w:val="21"/>
        </w:rPr>
        <w:t>2014年</w:t>
      </w:r>
      <w:r w:rsidRPr="00C95E20">
        <w:rPr>
          <w:rFonts w:ascii="Times New Roman" w:eastAsia="方正仿宋简体" w:hAnsi="Times New Roman" w:cs="Times New Roman" w:hint="eastAsia"/>
          <w:color w:val="000000"/>
          <w:kern w:val="0"/>
          <w:szCs w:val="21"/>
        </w:rPr>
        <w:t>1</w:t>
      </w:r>
      <w:r w:rsidRPr="00C95E20">
        <w:rPr>
          <w:rFonts w:ascii="方正仿宋简体" w:eastAsia="方正仿宋简体" w:hAnsi="楷体" w:cs="宋体" w:hint="eastAsia"/>
          <w:color w:val="000000"/>
          <w:kern w:val="0"/>
          <w:szCs w:val="21"/>
        </w:rPr>
        <w:t>月</w:t>
      </w:r>
      <w:r w:rsidRPr="00C95E20">
        <w:rPr>
          <w:rFonts w:ascii="Times New Roman" w:eastAsia="方正仿宋简体" w:hAnsi="Times New Roman" w:cs="Times New Roman" w:hint="eastAsia"/>
          <w:color w:val="000000"/>
          <w:kern w:val="0"/>
          <w:szCs w:val="21"/>
        </w:rPr>
        <w:t>9</w:t>
      </w:r>
      <w:r w:rsidRPr="00C95E20">
        <w:rPr>
          <w:rFonts w:ascii="方正仿宋简体" w:eastAsia="方正仿宋简体" w:hAnsi="楷体" w:cs="宋体" w:hint="eastAsia"/>
          <w:color w:val="000000"/>
          <w:kern w:val="0"/>
          <w:szCs w:val="21"/>
        </w:rPr>
        <w:t>日</w:t>
      </w:r>
    </w:p>
    <w:p w:rsidR="00C95E20" w:rsidRPr="00C95E20" w:rsidRDefault="00C95E20" w:rsidP="00C95E2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95E20" w:rsidRPr="00C95E20" w:rsidTr="00C95E20">
        <w:trPr>
          <w:tblCellSpacing w:w="15" w:type="dxa"/>
          <w:jc w:val="center"/>
        </w:trPr>
        <w:tc>
          <w:tcPr>
            <w:tcW w:w="900" w:type="dxa"/>
            <w:vAlign w:val="center"/>
            <w:hideMark/>
          </w:tcPr>
          <w:p w:rsidR="00C95E20" w:rsidRPr="00C95E20" w:rsidRDefault="00C95E20" w:rsidP="00C95E20">
            <w:pPr>
              <w:widowControl/>
              <w:jc w:val="left"/>
              <w:rPr>
                <w:rFonts w:ascii="宋体" w:eastAsia="宋体" w:hAnsi="宋体" w:cs="宋体" w:hint="eastAsia"/>
                <w:kern w:val="0"/>
                <w:sz w:val="18"/>
                <w:szCs w:val="18"/>
              </w:rPr>
            </w:pPr>
            <w:r w:rsidRPr="00C95E20">
              <w:rPr>
                <w:rFonts w:ascii="宋体" w:eastAsia="宋体" w:hAnsi="宋体" w:cs="宋体"/>
                <w:kern w:val="0"/>
                <w:sz w:val="18"/>
                <w:szCs w:val="18"/>
              </w:rPr>
              <w:t> </w:t>
            </w:r>
          </w:p>
        </w:tc>
        <w:tc>
          <w:tcPr>
            <w:tcW w:w="1200" w:type="dxa"/>
            <w:vAlign w:val="center"/>
            <w:hideMark/>
          </w:tcPr>
          <w:p w:rsidR="00C95E20" w:rsidRPr="00C95E20" w:rsidRDefault="00C95E20" w:rsidP="00C95E20">
            <w:pPr>
              <w:widowControl/>
              <w:jc w:val="left"/>
              <w:rPr>
                <w:rFonts w:ascii="宋体" w:eastAsia="宋体" w:hAnsi="宋体" w:cs="宋体"/>
                <w:kern w:val="0"/>
                <w:sz w:val="18"/>
                <w:szCs w:val="18"/>
              </w:rPr>
            </w:pPr>
            <w:r w:rsidRPr="00C95E2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95E20" w:rsidRPr="00C95E20" w:rsidRDefault="00C95E20" w:rsidP="00C95E20">
            <w:pPr>
              <w:widowControl/>
              <w:jc w:val="left"/>
              <w:rPr>
                <w:rFonts w:ascii="宋体" w:eastAsia="宋体" w:hAnsi="宋体" w:cs="宋体"/>
                <w:kern w:val="0"/>
                <w:sz w:val="18"/>
                <w:szCs w:val="18"/>
              </w:rPr>
            </w:pPr>
            <w:r w:rsidRPr="00C95E2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95E20" w:rsidRPr="00C95E20" w:rsidRDefault="00C95E20" w:rsidP="00C95E20">
            <w:pPr>
              <w:widowControl/>
              <w:jc w:val="left"/>
              <w:rPr>
                <w:rFonts w:ascii="宋体" w:eastAsia="宋体" w:hAnsi="宋体" w:cs="宋体"/>
                <w:kern w:val="0"/>
                <w:sz w:val="18"/>
                <w:szCs w:val="18"/>
              </w:rPr>
            </w:pPr>
            <w:r w:rsidRPr="00C95E2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95E20" w:rsidRPr="00C95E20" w:rsidRDefault="00C95E20" w:rsidP="00C95E20">
      <w:pPr>
        <w:widowControl/>
        <w:jc w:val="center"/>
        <w:rPr>
          <w:rFonts w:ascii="微软雅黑" w:eastAsia="微软雅黑" w:hAnsi="微软雅黑" w:cs="宋体"/>
          <w:color w:val="515151"/>
          <w:kern w:val="0"/>
          <w:sz w:val="18"/>
          <w:szCs w:val="18"/>
        </w:rPr>
      </w:pPr>
      <w:hyperlink r:id="rId11" w:tgtFrame="_blank" w:history="1">
        <w:r w:rsidRPr="00C95E20">
          <w:rPr>
            <w:rFonts w:ascii="微软雅黑" w:eastAsia="微软雅黑" w:hAnsi="微软雅黑" w:cs="宋体" w:hint="eastAsia"/>
            <w:color w:val="0000FF"/>
            <w:kern w:val="0"/>
            <w:sz w:val="18"/>
            <w:szCs w:val="18"/>
            <w:u w:val="single"/>
          </w:rPr>
          <w:t>关于我们</w:t>
        </w:r>
      </w:hyperlink>
      <w:r w:rsidRPr="00C95E20">
        <w:rPr>
          <w:rFonts w:ascii="微软雅黑" w:eastAsia="微软雅黑" w:hAnsi="微软雅黑" w:cs="宋体" w:hint="eastAsia"/>
          <w:color w:val="515151"/>
          <w:kern w:val="0"/>
          <w:sz w:val="18"/>
          <w:szCs w:val="18"/>
        </w:rPr>
        <w:t> - </w:t>
      </w:r>
      <w:hyperlink r:id="rId12" w:tgtFrame="_blank" w:history="1">
        <w:r w:rsidRPr="00C95E20">
          <w:rPr>
            <w:rFonts w:ascii="微软雅黑" w:eastAsia="微软雅黑" w:hAnsi="微软雅黑" w:cs="宋体" w:hint="eastAsia"/>
            <w:color w:val="0000FF"/>
            <w:kern w:val="0"/>
            <w:sz w:val="18"/>
            <w:szCs w:val="18"/>
            <w:u w:val="single"/>
          </w:rPr>
          <w:t>法律声明</w:t>
        </w:r>
      </w:hyperlink>
      <w:r w:rsidRPr="00C95E20">
        <w:rPr>
          <w:rFonts w:ascii="微软雅黑" w:eastAsia="微软雅黑" w:hAnsi="微软雅黑" w:cs="宋体" w:hint="eastAsia"/>
          <w:color w:val="515151"/>
          <w:kern w:val="0"/>
          <w:sz w:val="18"/>
          <w:szCs w:val="18"/>
        </w:rPr>
        <w:t> - </w:t>
      </w:r>
      <w:hyperlink r:id="rId13" w:tgtFrame="_blank" w:history="1">
        <w:r w:rsidRPr="00C95E20">
          <w:rPr>
            <w:rFonts w:ascii="微软雅黑" w:eastAsia="微软雅黑" w:hAnsi="微软雅黑" w:cs="宋体" w:hint="eastAsia"/>
            <w:color w:val="0000FF"/>
            <w:kern w:val="0"/>
            <w:sz w:val="18"/>
            <w:szCs w:val="18"/>
            <w:u w:val="single"/>
          </w:rPr>
          <w:t>联系我们</w:t>
        </w:r>
      </w:hyperlink>
    </w:p>
    <w:p w:rsidR="00C95E20" w:rsidRPr="00C95E20" w:rsidRDefault="00C95E20" w:rsidP="00C95E20">
      <w:pPr>
        <w:widowControl/>
        <w:jc w:val="center"/>
        <w:rPr>
          <w:rFonts w:ascii="微软雅黑" w:eastAsia="微软雅黑" w:hAnsi="微软雅黑" w:cs="宋体" w:hint="eastAsia"/>
          <w:color w:val="515151"/>
          <w:kern w:val="0"/>
          <w:sz w:val="18"/>
          <w:szCs w:val="18"/>
        </w:rPr>
      </w:pPr>
      <w:r w:rsidRPr="00C95E20">
        <w:rPr>
          <w:rFonts w:ascii="微软雅黑" w:eastAsia="微软雅黑" w:hAnsi="微软雅黑" w:cs="宋体" w:hint="eastAsia"/>
          <w:color w:val="515151"/>
          <w:kern w:val="0"/>
          <w:sz w:val="18"/>
          <w:szCs w:val="18"/>
        </w:rPr>
        <w:t>版权所有：中国证券监督管理委员会 京ICP备 05035542号</w:t>
      </w:r>
    </w:p>
    <w:p w:rsidR="00C95E20" w:rsidRPr="00C95E20" w:rsidRDefault="00C95E20" w:rsidP="00C95E20">
      <w:pPr>
        <w:widowControl/>
        <w:jc w:val="center"/>
        <w:rPr>
          <w:rFonts w:ascii="微软雅黑" w:eastAsia="微软雅黑" w:hAnsi="微软雅黑" w:cs="宋体" w:hint="eastAsia"/>
          <w:color w:val="515151"/>
          <w:kern w:val="0"/>
          <w:sz w:val="18"/>
          <w:szCs w:val="18"/>
        </w:rPr>
      </w:pPr>
      <w:r w:rsidRPr="00C95E20">
        <w:rPr>
          <w:rFonts w:ascii="微软雅黑" w:eastAsia="微软雅黑" w:hAnsi="微软雅黑" w:cs="宋体" w:hint="eastAsia"/>
          <w:color w:val="515151"/>
          <w:kern w:val="0"/>
          <w:sz w:val="18"/>
          <w:szCs w:val="18"/>
        </w:rPr>
        <w:t>地址：北京市西城区金融大街19号富凯大厦A座 邮编：100033</w:t>
      </w:r>
    </w:p>
    <w:p w:rsidR="00C95E20" w:rsidRPr="00C95E20" w:rsidRDefault="00C95E20" w:rsidP="00C95E20">
      <w:pPr>
        <w:widowControl/>
        <w:jc w:val="center"/>
        <w:rPr>
          <w:rFonts w:ascii="微软雅黑" w:eastAsia="微软雅黑" w:hAnsi="微软雅黑" w:cs="宋体" w:hint="eastAsia"/>
          <w:color w:val="515151"/>
          <w:kern w:val="0"/>
          <w:sz w:val="18"/>
          <w:szCs w:val="18"/>
        </w:rPr>
      </w:pPr>
      <w:r w:rsidRPr="00C95E20">
        <w:rPr>
          <w:rFonts w:ascii="微软雅黑" w:eastAsia="微软雅黑" w:hAnsi="微软雅黑" w:cs="宋体" w:hint="eastAsia"/>
          <w:color w:val="515151"/>
          <w:kern w:val="0"/>
          <w:sz w:val="18"/>
          <w:szCs w:val="18"/>
        </w:rPr>
        <w:t>建议使用IE5.5以上浏览器，分辨率1024*768</w:t>
      </w:r>
    </w:p>
    <w:p w:rsidR="005E7404" w:rsidRPr="00C95E20" w:rsidRDefault="005E7404"/>
    <w:sectPr w:rsidR="005E7404" w:rsidRPr="00C95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20"/>
    <w:rsid w:val="005E7404"/>
    <w:rsid w:val="00C9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BCE23-9185-42AA-B384-318EC1C1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E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95E20"/>
    <w:rPr>
      <w:b/>
      <w:bCs/>
    </w:rPr>
  </w:style>
  <w:style w:type="paragraph" w:customStyle="1" w:styleId="p0">
    <w:name w:val="p0"/>
    <w:basedOn w:val="a"/>
    <w:rsid w:val="00C95E2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C95E20"/>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C95E2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95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9760">
      <w:bodyDiv w:val="1"/>
      <w:marLeft w:val="0"/>
      <w:marRight w:val="0"/>
      <w:marTop w:val="0"/>
      <w:marBottom w:val="0"/>
      <w:divBdr>
        <w:top w:val="none" w:sz="0" w:space="0" w:color="auto"/>
        <w:left w:val="none" w:sz="0" w:space="0" w:color="auto"/>
        <w:bottom w:val="none" w:sz="0" w:space="0" w:color="auto"/>
        <w:right w:val="none" w:sz="0" w:space="0" w:color="auto"/>
      </w:divBdr>
      <w:divsChild>
        <w:div w:id="2029329693">
          <w:marLeft w:val="0"/>
          <w:marRight w:val="0"/>
          <w:marTop w:val="150"/>
          <w:marBottom w:val="150"/>
          <w:divBdr>
            <w:top w:val="none" w:sz="0" w:space="0" w:color="auto"/>
            <w:left w:val="none" w:sz="0" w:space="0" w:color="auto"/>
            <w:bottom w:val="none" w:sz="0" w:space="0" w:color="auto"/>
            <w:right w:val="none" w:sz="0" w:space="0" w:color="auto"/>
          </w:divBdr>
        </w:div>
        <w:div w:id="334264839">
          <w:marLeft w:val="0"/>
          <w:marRight w:val="0"/>
          <w:marTop w:val="0"/>
          <w:marBottom w:val="0"/>
          <w:divBdr>
            <w:top w:val="single" w:sz="6" w:space="8" w:color="B5B5B5"/>
            <w:left w:val="single" w:sz="6" w:space="0" w:color="B5B5B5"/>
            <w:bottom w:val="single" w:sz="6" w:space="8" w:color="B5B5B5"/>
            <w:right w:val="single" w:sz="6" w:space="0" w:color="B5B5B5"/>
          </w:divBdr>
          <w:divsChild>
            <w:div w:id="1685014930">
              <w:marLeft w:val="0"/>
              <w:marRight w:val="0"/>
              <w:marTop w:val="0"/>
              <w:marBottom w:val="0"/>
              <w:divBdr>
                <w:top w:val="none" w:sz="0" w:space="0" w:color="auto"/>
                <w:left w:val="none" w:sz="0" w:space="0" w:color="auto"/>
                <w:bottom w:val="none" w:sz="0" w:space="0" w:color="auto"/>
                <w:right w:val="none" w:sz="0" w:space="0" w:color="auto"/>
              </w:divBdr>
            </w:div>
            <w:div w:id="1949269970">
              <w:marLeft w:val="0"/>
              <w:marRight w:val="0"/>
              <w:marTop w:val="0"/>
              <w:marBottom w:val="0"/>
              <w:divBdr>
                <w:top w:val="none" w:sz="0" w:space="0" w:color="auto"/>
                <w:left w:val="none" w:sz="0" w:space="0" w:color="auto"/>
                <w:bottom w:val="none" w:sz="0" w:space="0" w:color="auto"/>
                <w:right w:val="none" w:sz="0" w:space="0" w:color="auto"/>
              </w:divBdr>
            </w:div>
            <w:div w:id="852380818">
              <w:marLeft w:val="0"/>
              <w:marRight w:val="0"/>
              <w:marTop w:val="120"/>
              <w:marBottom w:val="120"/>
              <w:divBdr>
                <w:top w:val="none" w:sz="0" w:space="0" w:color="auto"/>
                <w:left w:val="none" w:sz="0" w:space="0" w:color="auto"/>
                <w:bottom w:val="none" w:sz="0" w:space="0" w:color="auto"/>
                <w:right w:val="none" w:sz="0" w:space="0" w:color="auto"/>
              </w:divBdr>
            </w:div>
          </w:divsChild>
        </w:div>
        <w:div w:id="1374621395">
          <w:marLeft w:val="0"/>
          <w:marRight w:val="0"/>
          <w:marTop w:val="120"/>
          <w:marBottom w:val="0"/>
          <w:divBdr>
            <w:top w:val="none" w:sz="0" w:space="0" w:color="auto"/>
            <w:left w:val="none" w:sz="0" w:space="0" w:color="auto"/>
            <w:bottom w:val="none" w:sz="0" w:space="0" w:color="auto"/>
            <w:right w:val="none" w:sz="0" w:space="0" w:color="auto"/>
          </w:divBdr>
          <w:divsChild>
            <w:div w:id="97917098">
              <w:marLeft w:val="0"/>
              <w:marRight w:val="0"/>
              <w:marTop w:val="60"/>
              <w:marBottom w:val="0"/>
              <w:divBdr>
                <w:top w:val="none" w:sz="0" w:space="0" w:color="auto"/>
                <w:left w:val="none" w:sz="0" w:space="0" w:color="auto"/>
                <w:bottom w:val="none" w:sz="0" w:space="0" w:color="auto"/>
                <w:right w:val="none" w:sz="0" w:space="0" w:color="auto"/>
              </w:divBdr>
            </w:div>
            <w:div w:id="1375421011">
              <w:marLeft w:val="0"/>
              <w:marRight w:val="0"/>
              <w:marTop w:val="60"/>
              <w:marBottom w:val="0"/>
              <w:divBdr>
                <w:top w:val="none" w:sz="0" w:space="0" w:color="auto"/>
                <w:left w:val="none" w:sz="0" w:space="0" w:color="auto"/>
                <w:bottom w:val="none" w:sz="0" w:space="0" w:color="auto"/>
                <w:right w:val="none" w:sz="0" w:space="0" w:color="auto"/>
              </w:divBdr>
            </w:div>
            <w:div w:id="223226669">
              <w:marLeft w:val="0"/>
              <w:marRight w:val="0"/>
              <w:marTop w:val="60"/>
              <w:marBottom w:val="0"/>
              <w:divBdr>
                <w:top w:val="none" w:sz="0" w:space="0" w:color="auto"/>
                <w:left w:val="none" w:sz="0" w:space="0" w:color="auto"/>
                <w:bottom w:val="none" w:sz="0" w:space="0" w:color="auto"/>
                <w:right w:val="none" w:sz="0" w:space="0" w:color="auto"/>
              </w:divBdr>
            </w:div>
            <w:div w:id="20381931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1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2020-02-19T13:58:00Z</dcterms:created>
  <dcterms:modified xsi:type="dcterms:W3CDTF">2020-02-19T13:58:00Z</dcterms:modified>
</cp:coreProperties>
</file>