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1190" w:rsidRPr="009D1190" w:rsidRDefault="009D1190" w:rsidP="009D1190">
      <w:pPr>
        <w:widowControl/>
        <w:jc w:val="center"/>
        <w:rPr>
          <w:rFonts w:ascii="微软雅黑" w:eastAsia="微软雅黑" w:hAnsi="微软雅黑" w:cs="宋体"/>
          <w:color w:val="000000"/>
          <w:kern w:val="0"/>
          <w:sz w:val="18"/>
          <w:szCs w:val="18"/>
        </w:rPr>
      </w:pPr>
      <w:r w:rsidRPr="009D1190">
        <w:rPr>
          <w:rFonts w:ascii="微软雅黑" w:eastAsia="微软雅黑" w:hAnsi="微软雅黑" w:cs="宋体"/>
          <w:noProof/>
          <w:color w:val="000000"/>
          <w:kern w:val="0"/>
          <w:sz w:val="18"/>
          <w:szCs w:val="18"/>
        </w:rPr>
        <w:drawing>
          <wp:inline distT="0" distB="0" distL="0" distR="0">
            <wp:extent cx="5274310" cy="5734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4310" cy="573405"/>
                    </a:xfrm>
                    <a:prstGeom prst="rect">
                      <a:avLst/>
                    </a:prstGeom>
                    <a:noFill/>
                    <a:ln>
                      <a:noFill/>
                    </a:ln>
                  </pic:spPr>
                </pic:pic>
              </a:graphicData>
            </a:graphic>
          </wp:inline>
        </w:drawing>
      </w:r>
    </w:p>
    <w:tbl>
      <w:tblPr>
        <w:tblW w:w="13230" w:type="dxa"/>
        <w:jc w:val="center"/>
        <w:tblCellSpacing w:w="0" w:type="dxa"/>
        <w:tblCellMar>
          <w:left w:w="0" w:type="dxa"/>
          <w:right w:w="0" w:type="dxa"/>
        </w:tblCellMar>
        <w:tblLook w:val="04A0" w:firstRow="1" w:lastRow="0" w:firstColumn="1" w:lastColumn="0" w:noHBand="0" w:noVBand="1"/>
      </w:tblPr>
      <w:tblGrid>
        <w:gridCol w:w="13230"/>
      </w:tblGrid>
      <w:tr w:rsidR="009D1190" w:rsidRPr="009D1190" w:rsidTr="009D119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D1190" w:rsidRPr="009D1190">
              <w:trPr>
                <w:tblCellSpacing w:w="0" w:type="dxa"/>
              </w:trPr>
              <w:tc>
                <w:tcPr>
                  <w:tcW w:w="2500" w:type="pct"/>
                  <w:tcMar>
                    <w:top w:w="30" w:type="dxa"/>
                    <w:left w:w="30" w:type="dxa"/>
                    <w:bottom w:w="30" w:type="dxa"/>
                    <w:right w:w="30" w:type="dxa"/>
                  </w:tcMar>
                  <w:hideMark/>
                </w:tcPr>
                <w:p w:rsidR="009D1190" w:rsidRPr="009D1190" w:rsidRDefault="009D1190" w:rsidP="009D1190">
                  <w:pPr>
                    <w:widowControl/>
                    <w:jc w:val="left"/>
                    <w:rPr>
                      <w:rFonts w:ascii="宋体" w:eastAsia="宋体" w:hAnsi="宋体" w:cs="宋体" w:hint="eastAsia"/>
                      <w:color w:val="686868"/>
                      <w:kern w:val="0"/>
                      <w:sz w:val="18"/>
                      <w:szCs w:val="18"/>
                    </w:rPr>
                  </w:pPr>
                  <w:r w:rsidRPr="009D1190">
                    <w:rPr>
                      <w:rFonts w:ascii="宋体" w:eastAsia="宋体" w:hAnsi="宋体" w:cs="宋体"/>
                      <w:b/>
                      <w:bCs/>
                      <w:color w:val="686868"/>
                      <w:kern w:val="0"/>
                      <w:sz w:val="18"/>
                      <w:szCs w:val="18"/>
                    </w:rPr>
                    <w:t>索 引 号:</w:t>
                  </w:r>
                  <w:r w:rsidRPr="009D1190">
                    <w:rPr>
                      <w:rFonts w:ascii="宋体" w:eastAsia="宋体" w:hAnsi="宋体" w:cs="宋体"/>
                      <w:color w:val="686868"/>
                      <w:kern w:val="0"/>
                      <w:sz w:val="18"/>
                      <w:szCs w:val="18"/>
                    </w:rPr>
                    <w:t>40000895X/</w:t>
                  </w:r>
                </w:p>
              </w:tc>
              <w:tc>
                <w:tcPr>
                  <w:tcW w:w="0" w:type="auto"/>
                  <w:tcMar>
                    <w:top w:w="30" w:type="dxa"/>
                    <w:left w:w="30" w:type="dxa"/>
                    <w:bottom w:w="30" w:type="dxa"/>
                    <w:right w:w="30" w:type="dxa"/>
                  </w:tcMar>
                  <w:hideMark/>
                </w:tcPr>
                <w:p w:rsidR="009D1190" w:rsidRPr="009D1190" w:rsidRDefault="009D1190" w:rsidP="009D1190">
                  <w:pPr>
                    <w:widowControl/>
                    <w:jc w:val="left"/>
                    <w:rPr>
                      <w:rFonts w:ascii="宋体" w:eastAsia="宋体" w:hAnsi="宋体" w:cs="宋体"/>
                      <w:color w:val="686868"/>
                      <w:kern w:val="0"/>
                      <w:sz w:val="18"/>
                      <w:szCs w:val="18"/>
                    </w:rPr>
                  </w:pPr>
                  <w:r w:rsidRPr="009D1190">
                    <w:rPr>
                      <w:rFonts w:ascii="宋体" w:eastAsia="宋体" w:hAnsi="宋体" w:cs="宋体"/>
                      <w:b/>
                      <w:bCs/>
                      <w:color w:val="686868"/>
                      <w:kern w:val="0"/>
                      <w:sz w:val="18"/>
                      <w:szCs w:val="18"/>
                    </w:rPr>
                    <w:t>分类:</w:t>
                  </w:r>
                  <w:r w:rsidRPr="009D1190">
                    <w:rPr>
                      <w:rFonts w:ascii="宋体" w:eastAsia="宋体" w:hAnsi="宋体" w:cs="宋体"/>
                      <w:color w:val="686868"/>
                      <w:kern w:val="0"/>
                      <w:sz w:val="18"/>
                      <w:szCs w:val="18"/>
                    </w:rPr>
                    <w:t> 行政处罚 ; 行政处罚决定</w:t>
                  </w:r>
                </w:p>
              </w:tc>
            </w:tr>
          </w:tbl>
          <w:p w:rsidR="009D1190" w:rsidRPr="009D1190" w:rsidRDefault="009D1190" w:rsidP="009D1190">
            <w:pPr>
              <w:widowControl/>
              <w:jc w:val="left"/>
              <w:rPr>
                <w:rFonts w:ascii="宋体" w:eastAsia="宋体" w:hAnsi="宋体" w:cs="宋体"/>
                <w:color w:val="686868"/>
                <w:kern w:val="0"/>
                <w:sz w:val="18"/>
                <w:szCs w:val="18"/>
              </w:rPr>
            </w:pPr>
          </w:p>
        </w:tc>
      </w:tr>
      <w:tr w:rsidR="009D1190" w:rsidRPr="009D1190" w:rsidTr="009D119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D1190" w:rsidRPr="009D1190">
              <w:trPr>
                <w:tblCellSpacing w:w="0" w:type="dxa"/>
              </w:trPr>
              <w:tc>
                <w:tcPr>
                  <w:tcW w:w="2500" w:type="pct"/>
                  <w:tcMar>
                    <w:top w:w="30" w:type="dxa"/>
                    <w:left w:w="30" w:type="dxa"/>
                    <w:bottom w:w="30" w:type="dxa"/>
                    <w:right w:w="30" w:type="dxa"/>
                  </w:tcMar>
                  <w:hideMark/>
                </w:tcPr>
                <w:p w:rsidR="009D1190" w:rsidRPr="009D1190" w:rsidRDefault="009D1190" w:rsidP="009D1190">
                  <w:pPr>
                    <w:widowControl/>
                    <w:jc w:val="left"/>
                    <w:rPr>
                      <w:rFonts w:ascii="宋体" w:eastAsia="宋体" w:hAnsi="宋体" w:cs="宋体"/>
                      <w:color w:val="686868"/>
                      <w:kern w:val="0"/>
                      <w:sz w:val="18"/>
                      <w:szCs w:val="18"/>
                    </w:rPr>
                  </w:pPr>
                  <w:r w:rsidRPr="009D1190">
                    <w:rPr>
                      <w:rFonts w:ascii="宋体" w:eastAsia="宋体" w:hAnsi="宋体" w:cs="宋体"/>
                      <w:b/>
                      <w:bCs/>
                      <w:color w:val="686868"/>
                      <w:kern w:val="0"/>
                      <w:sz w:val="18"/>
                      <w:szCs w:val="18"/>
                    </w:rPr>
                    <w:t>发布机构:</w:t>
                  </w:r>
                  <w:r w:rsidRPr="009D1190">
                    <w:rPr>
                      <w:rFonts w:ascii="宋体" w:eastAsia="宋体" w:hAnsi="宋体" w:cs="宋体"/>
                      <w:color w:val="686868"/>
                      <w:kern w:val="0"/>
                      <w:sz w:val="18"/>
                      <w:szCs w:val="18"/>
                    </w:rPr>
                    <w:t> 证监会</w:t>
                  </w:r>
                </w:p>
              </w:tc>
              <w:tc>
                <w:tcPr>
                  <w:tcW w:w="0" w:type="auto"/>
                  <w:tcMar>
                    <w:top w:w="30" w:type="dxa"/>
                    <w:left w:w="30" w:type="dxa"/>
                    <w:bottom w:w="30" w:type="dxa"/>
                    <w:right w:w="30" w:type="dxa"/>
                  </w:tcMar>
                  <w:hideMark/>
                </w:tcPr>
                <w:p w:rsidR="009D1190" w:rsidRPr="009D1190" w:rsidRDefault="009D1190" w:rsidP="009D1190">
                  <w:pPr>
                    <w:widowControl/>
                    <w:jc w:val="left"/>
                    <w:rPr>
                      <w:rFonts w:ascii="宋体" w:eastAsia="宋体" w:hAnsi="宋体" w:cs="宋体"/>
                      <w:color w:val="686868"/>
                      <w:kern w:val="0"/>
                      <w:sz w:val="18"/>
                      <w:szCs w:val="18"/>
                    </w:rPr>
                  </w:pPr>
                  <w:r w:rsidRPr="009D1190">
                    <w:rPr>
                      <w:rFonts w:ascii="宋体" w:eastAsia="宋体" w:hAnsi="宋体" w:cs="宋体"/>
                      <w:b/>
                      <w:bCs/>
                      <w:color w:val="686868"/>
                      <w:kern w:val="0"/>
                      <w:sz w:val="18"/>
                      <w:szCs w:val="18"/>
                    </w:rPr>
                    <w:t>发文日期:</w:t>
                  </w:r>
                  <w:r w:rsidRPr="009D1190">
                    <w:rPr>
                      <w:rFonts w:ascii="宋体" w:eastAsia="宋体" w:hAnsi="宋体" w:cs="宋体"/>
                      <w:color w:val="686868"/>
                      <w:kern w:val="0"/>
                      <w:sz w:val="18"/>
                      <w:szCs w:val="18"/>
                    </w:rPr>
                    <w:t> 2014年03月28日</w:t>
                  </w:r>
                </w:p>
              </w:tc>
            </w:tr>
          </w:tbl>
          <w:p w:rsidR="009D1190" w:rsidRPr="009D1190" w:rsidRDefault="009D1190" w:rsidP="009D1190">
            <w:pPr>
              <w:widowControl/>
              <w:jc w:val="left"/>
              <w:rPr>
                <w:rFonts w:ascii="宋体" w:eastAsia="宋体" w:hAnsi="宋体" w:cs="宋体"/>
                <w:color w:val="686868"/>
                <w:kern w:val="0"/>
                <w:sz w:val="18"/>
                <w:szCs w:val="18"/>
              </w:rPr>
            </w:pPr>
          </w:p>
        </w:tc>
      </w:tr>
      <w:tr w:rsidR="009D1190" w:rsidRPr="009D1190" w:rsidTr="009D1190">
        <w:trPr>
          <w:tblCellSpacing w:w="0" w:type="dxa"/>
          <w:jc w:val="center"/>
        </w:trPr>
        <w:tc>
          <w:tcPr>
            <w:tcW w:w="0" w:type="auto"/>
            <w:tcMar>
              <w:top w:w="30" w:type="dxa"/>
              <w:left w:w="30" w:type="dxa"/>
              <w:bottom w:w="30" w:type="dxa"/>
              <w:right w:w="30" w:type="dxa"/>
            </w:tcMar>
            <w:hideMark/>
          </w:tcPr>
          <w:p w:rsidR="009D1190" w:rsidRPr="009D1190" w:rsidRDefault="009D1190" w:rsidP="009D1190">
            <w:pPr>
              <w:widowControl/>
              <w:jc w:val="left"/>
              <w:rPr>
                <w:rFonts w:ascii="宋体" w:eastAsia="宋体" w:hAnsi="宋体" w:cs="宋体"/>
                <w:color w:val="686868"/>
                <w:kern w:val="0"/>
                <w:sz w:val="18"/>
                <w:szCs w:val="18"/>
              </w:rPr>
            </w:pPr>
            <w:r w:rsidRPr="009D1190">
              <w:rPr>
                <w:rFonts w:ascii="宋体" w:eastAsia="宋体" w:hAnsi="宋体" w:cs="宋体"/>
                <w:b/>
                <w:bCs/>
                <w:color w:val="686868"/>
                <w:kern w:val="0"/>
                <w:sz w:val="18"/>
                <w:szCs w:val="18"/>
              </w:rPr>
              <w:t>名　　称:</w:t>
            </w:r>
            <w:r w:rsidRPr="009D1190">
              <w:rPr>
                <w:rFonts w:ascii="宋体" w:eastAsia="宋体" w:hAnsi="宋体" w:cs="宋体"/>
                <w:color w:val="686868"/>
                <w:kern w:val="0"/>
                <w:sz w:val="18"/>
                <w:szCs w:val="18"/>
              </w:rPr>
              <w:t> 中国证监会行政处罚决定书（马国秋）</w:t>
            </w:r>
          </w:p>
        </w:tc>
      </w:tr>
      <w:tr w:rsidR="009D1190" w:rsidRPr="009D1190" w:rsidTr="009D1190">
        <w:trPr>
          <w:tblCellSpacing w:w="0" w:type="dxa"/>
          <w:jc w:val="center"/>
        </w:trPr>
        <w:tc>
          <w:tcPr>
            <w:tcW w:w="0" w:type="auto"/>
            <w:tcMar>
              <w:top w:w="30" w:type="dxa"/>
              <w:left w:w="30" w:type="dxa"/>
              <w:bottom w:w="30" w:type="dxa"/>
              <w:right w:w="30" w:type="dxa"/>
            </w:tcMar>
            <w:hideMark/>
          </w:tcPr>
          <w:tbl>
            <w:tblPr>
              <w:tblW w:w="13170" w:type="dxa"/>
              <w:tblCellSpacing w:w="0" w:type="dxa"/>
              <w:tblCellMar>
                <w:left w:w="0" w:type="dxa"/>
                <w:right w:w="0" w:type="dxa"/>
              </w:tblCellMar>
              <w:tblLook w:val="04A0" w:firstRow="1" w:lastRow="0" w:firstColumn="1" w:lastColumn="0" w:noHBand="0" w:noVBand="1"/>
            </w:tblPr>
            <w:tblGrid>
              <w:gridCol w:w="6585"/>
              <w:gridCol w:w="6585"/>
            </w:tblGrid>
            <w:tr w:rsidR="009D1190" w:rsidRPr="009D1190">
              <w:trPr>
                <w:tblCellSpacing w:w="0" w:type="dxa"/>
              </w:trPr>
              <w:tc>
                <w:tcPr>
                  <w:tcW w:w="2500" w:type="pct"/>
                  <w:tcMar>
                    <w:top w:w="30" w:type="dxa"/>
                    <w:left w:w="30" w:type="dxa"/>
                    <w:bottom w:w="30" w:type="dxa"/>
                    <w:right w:w="30" w:type="dxa"/>
                  </w:tcMar>
                  <w:hideMark/>
                </w:tcPr>
                <w:p w:rsidR="009D1190" w:rsidRPr="009D1190" w:rsidRDefault="009D1190" w:rsidP="009D1190">
                  <w:pPr>
                    <w:widowControl/>
                    <w:jc w:val="left"/>
                    <w:rPr>
                      <w:rFonts w:ascii="宋体" w:eastAsia="宋体" w:hAnsi="宋体" w:cs="宋体"/>
                      <w:color w:val="686868"/>
                      <w:kern w:val="0"/>
                      <w:sz w:val="18"/>
                      <w:szCs w:val="18"/>
                    </w:rPr>
                  </w:pPr>
                  <w:r w:rsidRPr="009D1190">
                    <w:rPr>
                      <w:rFonts w:ascii="宋体" w:eastAsia="宋体" w:hAnsi="宋体" w:cs="宋体"/>
                      <w:b/>
                      <w:bCs/>
                      <w:color w:val="686868"/>
                      <w:kern w:val="0"/>
                      <w:sz w:val="18"/>
                      <w:szCs w:val="18"/>
                    </w:rPr>
                    <w:t>文　　号:</w:t>
                  </w:r>
                  <w:r w:rsidRPr="009D1190">
                    <w:rPr>
                      <w:rFonts w:ascii="宋体" w:eastAsia="宋体" w:hAnsi="宋体" w:cs="宋体"/>
                      <w:color w:val="686868"/>
                      <w:kern w:val="0"/>
                      <w:sz w:val="18"/>
                      <w:szCs w:val="18"/>
                    </w:rPr>
                    <w:t> 〔2014〕36号</w:t>
                  </w:r>
                </w:p>
              </w:tc>
              <w:tc>
                <w:tcPr>
                  <w:tcW w:w="0" w:type="auto"/>
                  <w:tcMar>
                    <w:top w:w="30" w:type="dxa"/>
                    <w:left w:w="30" w:type="dxa"/>
                    <w:bottom w:w="30" w:type="dxa"/>
                    <w:right w:w="30" w:type="dxa"/>
                  </w:tcMar>
                  <w:hideMark/>
                </w:tcPr>
                <w:p w:rsidR="009D1190" w:rsidRPr="009D1190" w:rsidRDefault="009D1190" w:rsidP="009D1190">
                  <w:pPr>
                    <w:widowControl/>
                    <w:jc w:val="left"/>
                    <w:rPr>
                      <w:rFonts w:ascii="宋体" w:eastAsia="宋体" w:hAnsi="宋体" w:cs="宋体"/>
                      <w:color w:val="686868"/>
                      <w:kern w:val="0"/>
                      <w:sz w:val="18"/>
                      <w:szCs w:val="18"/>
                    </w:rPr>
                  </w:pPr>
                  <w:r w:rsidRPr="009D1190">
                    <w:rPr>
                      <w:rFonts w:ascii="宋体" w:eastAsia="宋体" w:hAnsi="宋体" w:cs="宋体"/>
                      <w:b/>
                      <w:bCs/>
                      <w:color w:val="686868"/>
                      <w:kern w:val="0"/>
                      <w:sz w:val="18"/>
                      <w:szCs w:val="18"/>
                    </w:rPr>
                    <w:t>主 题 词:</w:t>
                  </w:r>
                </w:p>
              </w:tc>
            </w:tr>
          </w:tbl>
          <w:p w:rsidR="009D1190" w:rsidRPr="009D1190" w:rsidRDefault="009D1190" w:rsidP="009D1190">
            <w:pPr>
              <w:widowControl/>
              <w:jc w:val="left"/>
              <w:rPr>
                <w:rFonts w:ascii="宋体" w:eastAsia="宋体" w:hAnsi="宋体" w:cs="宋体"/>
                <w:color w:val="686868"/>
                <w:kern w:val="0"/>
                <w:sz w:val="18"/>
                <w:szCs w:val="18"/>
              </w:rPr>
            </w:pPr>
          </w:p>
        </w:tc>
      </w:tr>
    </w:tbl>
    <w:p w:rsidR="009D1190" w:rsidRPr="009D1190" w:rsidRDefault="009D1190" w:rsidP="009D1190">
      <w:pPr>
        <w:widowControl/>
        <w:jc w:val="center"/>
        <w:rPr>
          <w:rFonts w:ascii="微软雅黑" w:eastAsia="微软雅黑" w:hAnsi="微软雅黑" w:cs="宋体"/>
          <w:color w:val="000000"/>
          <w:kern w:val="0"/>
          <w:sz w:val="18"/>
          <w:szCs w:val="18"/>
        </w:rPr>
      </w:pPr>
      <w:r w:rsidRPr="009D1190">
        <w:rPr>
          <w:rFonts w:ascii="微软雅黑" w:eastAsia="微软雅黑" w:hAnsi="微软雅黑" w:cs="宋体"/>
          <w:color w:val="000000"/>
          <w:kern w:val="0"/>
          <w:sz w:val="18"/>
          <w:szCs w:val="18"/>
        </w:rP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7" type="#_x0000_t75" style="width:18pt;height:18pt" o:ole="">
            <v:imagedata r:id="rId5" o:title=""/>
          </v:shape>
          <w:control r:id="rId6" w:name="对象 43" w:shapeid="_x0000_i1067"/>
        </w:object>
      </w:r>
    </w:p>
    <w:p w:rsidR="009D1190" w:rsidRPr="009D1190" w:rsidRDefault="009D1190" w:rsidP="009D1190">
      <w:pPr>
        <w:widowControl/>
        <w:shd w:val="clear" w:color="auto" w:fill="FFFFFF"/>
        <w:spacing w:after="240"/>
        <w:jc w:val="center"/>
        <w:rPr>
          <w:rFonts w:ascii="微软雅黑" w:eastAsia="微软雅黑" w:hAnsi="微软雅黑" w:cs="宋体" w:hint="eastAsia"/>
          <w:color w:val="000000"/>
          <w:kern w:val="0"/>
          <w:sz w:val="18"/>
          <w:szCs w:val="18"/>
        </w:rPr>
      </w:pPr>
      <w:r w:rsidRPr="009D1190">
        <w:rPr>
          <w:rFonts w:ascii="微软雅黑" w:eastAsia="微软雅黑" w:hAnsi="微软雅黑" w:cs="宋体" w:hint="eastAsia"/>
          <w:color w:val="000000"/>
          <w:kern w:val="0"/>
          <w:sz w:val="18"/>
          <w:szCs w:val="18"/>
        </w:rPr>
        <w:br/>
      </w:r>
      <w:r w:rsidRPr="009D1190">
        <w:rPr>
          <w:rFonts w:ascii="黑体" w:eastAsia="黑体" w:hAnsi="黑体" w:cs="宋体" w:hint="eastAsia"/>
          <w:b/>
          <w:bCs/>
          <w:color w:val="FF0000"/>
          <w:kern w:val="0"/>
          <w:sz w:val="36"/>
          <w:szCs w:val="36"/>
        </w:rPr>
        <w:t>中国证监会行政处罚决定书（马国秋）</w:t>
      </w:r>
    </w:p>
    <w:p w:rsidR="009D1190" w:rsidRPr="009D1190" w:rsidRDefault="009D1190" w:rsidP="009D1190">
      <w:pPr>
        <w:widowControl/>
        <w:shd w:val="clear" w:color="auto" w:fill="FFFFFF"/>
        <w:spacing w:line="360" w:lineRule="atLeast"/>
        <w:jc w:val="center"/>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w:t>
      </w:r>
      <w:r w:rsidRPr="009D1190">
        <w:rPr>
          <w:rFonts w:ascii="Times New Roman" w:eastAsia="方正仿宋简体" w:hAnsi="Times New Roman" w:cs="Times New Roman" w:hint="eastAsia"/>
          <w:color w:val="000000"/>
          <w:kern w:val="0"/>
          <w:szCs w:val="21"/>
        </w:rPr>
        <w:t>2014</w:t>
      </w:r>
      <w:r w:rsidRPr="009D1190">
        <w:rPr>
          <w:rFonts w:ascii="方正仿宋简体" w:eastAsia="方正仿宋简体" w:hAnsi="楷体" w:cs="宋体" w:hint="eastAsia"/>
          <w:color w:val="000000"/>
          <w:kern w:val="0"/>
          <w:szCs w:val="21"/>
        </w:rPr>
        <w:t>〕</w:t>
      </w:r>
      <w:r w:rsidRPr="009D1190">
        <w:rPr>
          <w:rFonts w:ascii="Times New Roman" w:eastAsia="方正仿宋简体" w:hAnsi="Times New Roman" w:cs="Times New Roman" w:hint="eastAsia"/>
          <w:color w:val="000000"/>
          <w:kern w:val="0"/>
          <w:szCs w:val="21"/>
        </w:rPr>
        <w:t>36</w:t>
      </w:r>
      <w:r w:rsidRPr="009D1190">
        <w:rPr>
          <w:rFonts w:ascii="方正仿宋简体" w:eastAsia="方正仿宋简体" w:hAnsi="楷体" w:cs="宋体" w:hint="eastAsia"/>
          <w:color w:val="000000"/>
          <w:kern w:val="0"/>
          <w:szCs w:val="21"/>
        </w:rPr>
        <w:t>号</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当事人：马国秋，男，</w:t>
      </w:r>
      <w:r w:rsidRPr="009D1190">
        <w:rPr>
          <w:rFonts w:ascii="Times New Roman" w:eastAsia="方正仿宋简体" w:hAnsi="Times New Roman" w:cs="Times New Roman" w:hint="eastAsia"/>
          <w:color w:val="000000"/>
          <w:kern w:val="0"/>
          <w:szCs w:val="21"/>
        </w:rPr>
        <w:t>1973</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9</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26</w:t>
      </w:r>
      <w:r w:rsidRPr="009D1190">
        <w:rPr>
          <w:rFonts w:ascii="方正仿宋简体" w:eastAsia="方正仿宋简体" w:hAnsi="楷体" w:cs="宋体" w:hint="eastAsia"/>
          <w:color w:val="000000"/>
          <w:kern w:val="0"/>
          <w:szCs w:val="21"/>
        </w:rPr>
        <w:t>日出生，住址：北京市海淀区五棵松路</w:t>
      </w:r>
      <w:r w:rsidRPr="009D1190">
        <w:rPr>
          <w:rFonts w:ascii="Times New Roman" w:eastAsia="方正仿宋简体" w:hAnsi="Times New Roman" w:cs="Times New Roman" w:hint="eastAsia"/>
          <w:color w:val="000000"/>
          <w:kern w:val="0"/>
          <w:szCs w:val="21"/>
        </w:rPr>
        <w:t>20</w:t>
      </w:r>
      <w:r w:rsidRPr="009D1190">
        <w:rPr>
          <w:rFonts w:ascii="方正仿宋简体" w:eastAsia="方正仿宋简体" w:hAnsi="楷体" w:cs="宋体" w:hint="eastAsia"/>
          <w:color w:val="000000"/>
          <w:kern w:val="0"/>
          <w:szCs w:val="21"/>
        </w:rPr>
        <w:t>号。</w:t>
      </w:r>
    </w:p>
    <w:p w:rsidR="009D1190" w:rsidRPr="009D1190" w:rsidRDefault="009D1190" w:rsidP="009D1190">
      <w:pPr>
        <w:widowControl/>
        <w:shd w:val="clear" w:color="auto" w:fill="FFFFFF"/>
        <w:spacing w:line="360" w:lineRule="atLeast"/>
        <w:ind w:firstLine="616"/>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依据《中华人民共和国证券法》（以下简称《证券法》）的有关规定，我会依法对马国秋等涉嫌内幕交易违法行为进行了立案调查、审理，并依法向当事人告知了</w:t>
      </w:r>
      <w:proofErr w:type="gramStart"/>
      <w:r w:rsidRPr="009D1190">
        <w:rPr>
          <w:rFonts w:ascii="方正仿宋简体" w:eastAsia="方正仿宋简体" w:hAnsi="楷体" w:cs="宋体" w:hint="eastAsia"/>
          <w:color w:val="000000"/>
          <w:kern w:val="0"/>
          <w:szCs w:val="21"/>
        </w:rPr>
        <w:t>作出</w:t>
      </w:r>
      <w:proofErr w:type="gramEnd"/>
      <w:r w:rsidRPr="009D1190">
        <w:rPr>
          <w:rFonts w:ascii="方正仿宋简体" w:eastAsia="方正仿宋简体" w:hAnsi="楷体" w:cs="宋体" w:hint="eastAsia"/>
          <w:color w:val="000000"/>
          <w:kern w:val="0"/>
          <w:szCs w:val="21"/>
        </w:rPr>
        <w:t>行政处罚的事实、理由、依据及当事人依法享有的权利，当事人马国秋提出了申辩意见并要求听证。我会于</w:t>
      </w:r>
      <w:r w:rsidRPr="009D1190">
        <w:rPr>
          <w:rFonts w:ascii="Times New Roman" w:eastAsia="方正仿宋简体" w:hAnsi="Times New Roman" w:cs="Times New Roman" w:hint="eastAsia"/>
          <w:color w:val="000000"/>
          <w:kern w:val="0"/>
          <w:szCs w:val="21"/>
        </w:rPr>
        <w:t>2013</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12</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26</w:t>
      </w:r>
      <w:r w:rsidRPr="009D1190">
        <w:rPr>
          <w:rFonts w:ascii="方正仿宋简体" w:eastAsia="方正仿宋简体" w:hAnsi="楷体" w:cs="宋体" w:hint="eastAsia"/>
          <w:color w:val="000000"/>
          <w:kern w:val="0"/>
          <w:szCs w:val="21"/>
        </w:rPr>
        <w:t>日举行了听证会，听取了当事人的陈述和申辩。本案现已调查、审理终结。</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经查明，马国秋存在以下违法事实：</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黑体简体" w:eastAsia="方正黑体简体" w:hAnsi="楷体" w:cs="宋体" w:hint="eastAsia"/>
          <w:color w:val="000000"/>
          <w:kern w:val="0"/>
          <w:szCs w:val="21"/>
        </w:rPr>
        <w:t>一、本案涉及的内幕信息</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2011年</w:t>
      </w:r>
      <w:r w:rsidRPr="009D1190">
        <w:rPr>
          <w:rFonts w:ascii="Times New Roman" w:eastAsia="方正仿宋简体" w:hAnsi="Times New Roman" w:cs="Times New Roman" w:hint="eastAsia"/>
          <w:color w:val="000000"/>
          <w:kern w:val="0"/>
          <w:szCs w:val="21"/>
        </w:rPr>
        <w:t>11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2</w:t>
      </w:r>
      <w:r w:rsidRPr="009D1190">
        <w:rPr>
          <w:rFonts w:ascii="方正仿宋简体" w:eastAsia="方正仿宋简体" w:hAnsi="楷体" w:cs="宋体" w:hint="eastAsia"/>
          <w:color w:val="000000"/>
          <w:kern w:val="0"/>
          <w:szCs w:val="21"/>
        </w:rPr>
        <w:t>日，广东东方兄弟投资股份有限公司（原名广州东方宝龙汽车工业股份有限公司，以下简称宝龙公司）副总经理彭某与赤峰吉隆矿业有限责任公司（以下简称吉隆矿业）赵某某（董事长）、吕某某（总经理）等，以及西南证券股份有限公司（以下简称西南证券）投行三部高级执行董事陈某某在北京露雨轩茶楼见面，就吉隆矿业借壳上市事项初步接洽。</w:t>
      </w:r>
      <w:r w:rsidRPr="009D1190">
        <w:rPr>
          <w:rFonts w:ascii="Times New Roman" w:eastAsia="方正仿宋简体" w:hAnsi="Times New Roman" w:cs="Times New Roman" w:hint="eastAsia"/>
          <w:color w:val="000000"/>
          <w:kern w:val="0"/>
          <w:szCs w:val="21"/>
        </w:rPr>
        <w:t>11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6</w:t>
      </w:r>
      <w:r w:rsidRPr="009D1190">
        <w:rPr>
          <w:rFonts w:ascii="方正仿宋简体" w:eastAsia="方正仿宋简体" w:hAnsi="楷体" w:cs="宋体" w:hint="eastAsia"/>
          <w:color w:val="000000"/>
          <w:kern w:val="0"/>
          <w:szCs w:val="21"/>
        </w:rPr>
        <w:t>日</w:t>
      </w:r>
      <w:r w:rsidRPr="009D1190">
        <w:rPr>
          <w:rFonts w:ascii="Times New Roman" w:eastAsia="方正仿宋简体" w:hAnsi="Times New Roman" w:cs="Times New Roman" w:hint="eastAsia"/>
          <w:color w:val="000000"/>
          <w:kern w:val="0"/>
          <w:szCs w:val="21"/>
        </w:rPr>
        <w:t>,</w:t>
      </w:r>
      <w:r w:rsidRPr="009D1190">
        <w:rPr>
          <w:rFonts w:ascii="方正仿宋简体" w:eastAsia="方正仿宋简体" w:hAnsi="楷体" w:cs="宋体" w:hint="eastAsia"/>
          <w:color w:val="000000"/>
          <w:kern w:val="0"/>
          <w:szCs w:val="21"/>
        </w:rPr>
        <w:t>西南证券派人以做</w:t>
      </w:r>
      <w:r w:rsidRPr="009D1190">
        <w:rPr>
          <w:rFonts w:ascii="Times New Roman" w:eastAsia="方正仿宋简体" w:hAnsi="Times New Roman" w:cs="Times New Roman" w:hint="eastAsia"/>
          <w:color w:val="000000"/>
          <w:kern w:val="0"/>
          <w:szCs w:val="21"/>
        </w:rPr>
        <w:t>IPO</w:t>
      </w:r>
      <w:r w:rsidRPr="009D1190">
        <w:rPr>
          <w:rFonts w:ascii="方正仿宋简体" w:eastAsia="方正仿宋简体" w:hAnsi="楷体" w:cs="宋体" w:hint="eastAsia"/>
          <w:color w:val="000000"/>
          <w:kern w:val="0"/>
          <w:szCs w:val="21"/>
        </w:rPr>
        <w:t>尽职调查的名义前往吉隆矿业调查。</w:t>
      </w:r>
      <w:r w:rsidRPr="009D1190">
        <w:rPr>
          <w:rFonts w:ascii="Times New Roman" w:eastAsia="方正仿宋简体" w:hAnsi="Times New Roman" w:cs="Times New Roman" w:hint="eastAsia"/>
          <w:color w:val="000000"/>
          <w:kern w:val="0"/>
          <w:szCs w:val="21"/>
        </w:rPr>
        <w:t>11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11</w:t>
      </w:r>
      <w:r w:rsidRPr="009D1190">
        <w:rPr>
          <w:rFonts w:ascii="方正仿宋简体" w:eastAsia="方正仿宋简体" w:hAnsi="楷体" w:cs="宋体" w:hint="eastAsia"/>
          <w:color w:val="000000"/>
          <w:kern w:val="0"/>
          <w:szCs w:val="21"/>
        </w:rPr>
        <w:t>日，陈某某将《框架协议修订版》和《吉隆矿业尽调报告</w:t>
      </w:r>
      <w:r w:rsidRPr="009D1190">
        <w:rPr>
          <w:rFonts w:ascii="Times New Roman" w:eastAsia="方正仿宋简体" w:hAnsi="Times New Roman" w:cs="Times New Roman" w:hint="eastAsia"/>
          <w:color w:val="000000"/>
          <w:kern w:val="0"/>
          <w:szCs w:val="21"/>
        </w:rPr>
        <w:t>20111111_V1</w:t>
      </w:r>
      <w:r w:rsidRPr="009D1190">
        <w:rPr>
          <w:rFonts w:ascii="方正仿宋简体" w:eastAsia="方正仿宋简体" w:hAnsi="楷体" w:cs="宋体" w:hint="eastAsia"/>
          <w:color w:val="000000"/>
          <w:kern w:val="0"/>
          <w:szCs w:val="21"/>
        </w:rPr>
        <w:t>》通过邮件发送给了彭某。2011年</w:t>
      </w:r>
      <w:r w:rsidRPr="009D1190">
        <w:rPr>
          <w:rFonts w:ascii="Times New Roman" w:eastAsia="方正仿宋简体" w:hAnsi="Times New Roman" w:cs="Times New Roman" w:hint="eastAsia"/>
          <w:color w:val="000000"/>
          <w:kern w:val="0"/>
          <w:szCs w:val="21"/>
        </w:rPr>
        <w:t>11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18</w:t>
      </w:r>
      <w:r w:rsidRPr="009D1190">
        <w:rPr>
          <w:rFonts w:ascii="方正仿宋简体" w:eastAsia="方正仿宋简体" w:hAnsi="楷体" w:cs="宋体" w:hint="eastAsia"/>
          <w:color w:val="000000"/>
          <w:kern w:val="0"/>
          <w:szCs w:val="21"/>
        </w:rPr>
        <w:t>日，吉隆矿业赵某某前往东莞虎门与宝龙公司董事长郑某某等进行面谈，双方就关心的净壳、估值、利润保证、重组</w:t>
      </w:r>
      <w:proofErr w:type="gramStart"/>
      <w:r w:rsidRPr="009D1190">
        <w:rPr>
          <w:rFonts w:ascii="方正仿宋简体" w:eastAsia="方正仿宋简体" w:hAnsi="楷体" w:cs="宋体" w:hint="eastAsia"/>
          <w:color w:val="000000"/>
          <w:kern w:val="0"/>
          <w:szCs w:val="21"/>
        </w:rPr>
        <w:t>股价及迁址</w:t>
      </w:r>
      <w:proofErr w:type="gramEnd"/>
      <w:r w:rsidRPr="009D1190">
        <w:rPr>
          <w:rFonts w:ascii="方正仿宋简体" w:eastAsia="方正仿宋简体" w:hAnsi="楷体" w:cs="宋体" w:hint="eastAsia"/>
          <w:color w:val="000000"/>
          <w:kern w:val="0"/>
          <w:szCs w:val="21"/>
        </w:rPr>
        <w:t>等问题进行了讨论，并对借壳重组事项达成意向。</w:t>
      </w:r>
      <w:r w:rsidRPr="009D1190">
        <w:rPr>
          <w:rFonts w:ascii="Times New Roman" w:eastAsia="方正仿宋简体" w:hAnsi="Times New Roman" w:cs="Times New Roman" w:hint="eastAsia"/>
          <w:color w:val="000000"/>
          <w:kern w:val="0"/>
          <w:szCs w:val="21"/>
        </w:rPr>
        <w:t>2012</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5</w:t>
      </w:r>
      <w:r w:rsidRPr="009D1190">
        <w:rPr>
          <w:rFonts w:ascii="方正仿宋简体" w:eastAsia="方正仿宋简体" w:hAnsi="楷体" w:cs="宋体" w:hint="eastAsia"/>
          <w:color w:val="000000"/>
          <w:kern w:val="0"/>
          <w:szCs w:val="21"/>
        </w:rPr>
        <w:t>日，宝龙公司股票（简称“</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宝龙”，股票代码</w:t>
      </w:r>
      <w:r w:rsidRPr="009D1190">
        <w:rPr>
          <w:rFonts w:ascii="Times New Roman" w:eastAsia="方正仿宋简体" w:hAnsi="Times New Roman" w:cs="Times New Roman" w:hint="eastAsia"/>
          <w:color w:val="000000"/>
          <w:kern w:val="0"/>
          <w:szCs w:val="21"/>
        </w:rPr>
        <w:t>600988</w:t>
      </w:r>
      <w:r w:rsidRPr="009D1190">
        <w:rPr>
          <w:rFonts w:ascii="方正仿宋简体" w:eastAsia="方正仿宋简体" w:hAnsi="楷体" w:cs="宋体" w:hint="eastAsia"/>
          <w:color w:val="000000"/>
          <w:kern w:val="0"/>
          <w:szCs w:val="21"/>
        </w:rPr>
        <w:t>）因重大事项开始停牌。</w:t>
      </w:r>
      <w:r w:rsidRPr="009D1190">
        <w:rPr>
          <w:rFonts w:ascii="Times New Roman" w:eastAsia="方正仿宋简体" w:hAnsi="Times New Roman" w:cs="Times New Roman" w:hint="eastAsia"/>
          <w:color w:val="000000"/>
          <w:kern w:val="0"/>
          <w:szCs w:val="21"/>
        </w:rPr>
        <w:t>2012</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2</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23</w:t>
      </w:r>
      <w:r w:rsidRPr="009D1190">
        <w:rPr>
          <w:rFonts w:ascii="方正仿宋简体" w:eastAsia="方正仿宋简体" w:hAnsi="楷体" w:cs="宋体" w:hint="eastAsia"/>
          <w:color w:val="000000"/>
          <w:kern w:val="0"/>
          <w:szCs w:val="21"/>
        </w:rPr>
        <w:t>日，宝龙公司与赵某某等</w:t>
      </w:r>
      <w:r w:rsidRPr="009D1190">
        <w:rPr>
          <w:rFonts w:ascii="Times New Roman" w:eastAsia="方正仿宋简体" w:hAnsi="Times New Roman" w:cs="Times New Roman" w:hint="eastAsia"/>
          <w:color w:val="000000"/>
          <w:kern w:val="0"/>
          <w:szCs w:val="21"/>
        </w:rPr>
        <w:t>8</w:t>
      </w:r>
      <w:r w:rsidRPr="009D1190">
        <w:rPr>
          <w:rFonts w:ascii="方正仿宋简体" w:eastAsia="方正仿宋简体" w:hAnsi="楷体" w:cs="宋体" w:hint="eastAsia"/>
          <w:color w:val="000000"/>
          <w:kern w:val="0"/>
          <w:szCs w:val="21"/>
        </w:rPr>
        <w:t>位自然人签署了《发行股份购买资产协议》。</w:t>
      </w:r>
      <w:r w:rsidRPr="009D1190">
        <w:rPr>
          <w:rFonts w:ascii="Times New Roman" w:eastAsia="方正仿宋简体" w:hAnsi="Times New Roman" w:cs="Times New Roman" w:hint="eastAsia"/>
          <w:color w:val="000000"/>
          <w:kern w:val="0"/>
          <w:szCs w:val="21"/>
        </w:rPr>
        <w:t>2012</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3</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20</w:t>
      </w:r>
      <w:r w:rsidRPr="009D1190">
        <w:rPr>
          <w:rFonts w:ascii="方正仿宋简体" w:eastAsia="方正仿宋简体" w:hAnsi="楷体" w:cs="宋体" w:hint="eastAsia"/>
          <w:color w:val="000000"/>
          <w:kern w:val="0"/>
          <w:szCs w:val="21"/>
        </w:rPr>
        <w:t>日，“</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宝龙”复牌并公告收购报告书等重组文件，宝龙公司发布董事会决议公告称：宝龙公司拟将截至评估基准日的全部资产与负债出售给威远集团，同时以每股</w:t>
      </w:r>
      <w:r w:rsidRPr="009D1190">
        <w:rPr>
          <w:rFonts w:ascii="Times New Roman" w:eastAsia="方正仿宋简体" w:hAnsi="Times New Roman" w:cs="Times New Roman" w:hint="eastAsia"/>
          <w:color w:val="000000"/>
          <w:kern w:val="0"/>
          <w:szCs w:val="21"/>
        </w:rPr>
        <w:t>8.68</w:t>
      </w:r>
      <w:r w:rsidRPr="009D1190">
        <w:rPr>
          <w:rFonts w:ascii="方正仿宋简体" w:eastAsia="方正仿宋简体" w:hAnsi="楷体" w:cs="宋体" w:hint="eastAsia"/>
          <w:color w:val="000000"/>
          <w:kern w:val="0"/>
          <w:szCs w:val="21"/>
        </w:rPr>
        <w:t>元人民币的价格向吉隆矿业的全体股东发行股份，购买吉隆矿业</w:t>
      </w:r>
      <w:r w:rsidRPr="009D1190">
        <w:rPr>
          <w:rFonts w:ascii="Times New Roman" w:eastAsia="方正仿宋简体" w:hAnsi="Times New Roman" w:cs="Times New Roman" w:hint="eastAsia"/>
          <w:color w:val="000000"/>
          <w:kern w:val="0"/>
          <w:szCs w:val="21"/>
        </w:rPr>
        <w:t>100%</w:t>
      </w:r>
      <w:r w:rsidRPr="009D1190">
        <w:rPr>
          <w:rFonts w:ascii="方正仿宋简体" w:eastAsia="方正仿宋简体" w:hAnsi="楷体" w:cs="宋体" w:hint="eastAsia"/>
          <w:color w:val="000000"/>
          <w:kern w:val="0"/>
          <w:szCs w:val="21"/>
        </w:rPr>
        <w:t>的股权。</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宝龙公司向吉隆矿业发行股份购买全部资产，将使宝龙公司的经营方针和经营范围发生重大变化，属于《证券法》第六十七条规定的重大事件；该行为也将直接导致公司的股权结构发生重大变化，构成《证券法》第七十五条第二款第三项规定的“公司股权结构的</w:t>
      </w:r>
      <w:r w:rsidRPr="009D1190">
        <w:rPr>
          <w:rFonts w:ascii="方正仿宋简体" w:eastAsia="方正仿宋简体" w:hAnsi="楷体" w:cs="宋体" w:hint="eastAsia"/>
          <w:color w:val="000000"/>
          <w:kern w:val="0"/>
          <w:szCs w:val="21"/>
        </w:rPr>
        <w:lastRenderedPageBreak/>
        <w:t>重大变化”；宝龙公司向吉隆矿业发行股份购买全部资产行为，属于《证券法》第七十五条规定的内幕信息，西南证券陈某某是该内幕信息知情人之一。该内幕信息敏感期应始于</w:t>
      </w:r>
      <w:r w:rsidRPr="009D1190">
        <w:rPr>
          <w:rFonts w:ascii="Times New Roman" w:eastAsia="方正仿宋简体" w:hAnsi="Times New Roman" w:cs="Times New Roman" w:hint="eastAsia"/>
          <w:color w:val="000000"/>
          <w:kern w:val="0"/>
          <w:szCs w:val="21"/>
        </w:rPr>
        <w:t>2011</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18</w:t>
      </w:r>
      <w:r w:rsidRPr="009D1190">
        <w:rPr>
          <w:rFonts w:ascii="方正仿宋简体" w:eastAsia="方正仿宋简体" w:hAnsi="楷体" w:cs="宋体" w:hint="eastAsia"/>
          <w:color w:val="000000"/>
          <w:kern w:val="0"/>
          <w:szCs w:val="21"/>
        </w:rPr>
        <w:t>日宝龙公司和吉隆矿业达成重组共识，终于</w:t>
      </w:r>
      <w:r w:rsidRPr="009D1190">
        <w:rPr>
          <w:rFonts w:ascii="Times New Roman" w:eastAsia="方正仿宋简体" w:hAnsi="Times New Roman" w:cs="Times New Roman" w:hint="eastAsia"/>
          <w:color w:val="000000"/>
          <w:kern w:val="0"/>
          <w:szCs w:val="21"/>
        </w:rPr>
        <w:t>2012</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5</w:t>
      </w:r>
      <w:r w:rsidRPr="009D1190">
        <w:rPr>
          <w:rFonts w:ascii="方正仿宋简体" w:eastAsia="方正仿宋简体" w:hAnsi="楷体" w:cs="宋体" w:hint="eastAsia"/>
          <w:color w:val="000000"/>
          <w:kern w:val="0"/>
          <w:szCs w:val="21"/>
        </w:rPr>
        <w:t>日“</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宝龙”停牌。</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黑体简体" w:eastAsia="方正黑体简体" w:hAnsi="楷体" w:cs="宋体" w:hint="eastAsia"/>
          <w:color w:val="000000"/>
          <w:kern w:val="0"/>
          <w:szCs w:val="21"/>
        </w:rPr>
        <w:t>二、马国秋非法获取内幕信息，控制其本人账户内幕交易“</w:t>
      </w:r>
      <w:r w:rsidRPr="009D1190">
        <w:rPr>
          <w:rFonts w:ascii="Times New Roman" w:eastAsia="方正黑体简体" w:hAnsi="Times New Roman" w:cs="Times New Roman" w:hint="eastAsia"/>
          <w:color w:val="000000"/>
          <w:kern w:val="0"/>
          <w:szCs w:val="21"/>
        </w:rPr>
        <w:t>ST</w:t>
      </w:r>
      <w:r w:rsidRPr="009D1190">
        <w:rPr>
          <w:rFonts w:ascii="方正黑体简体" w:eastAsia="方正黑体简体" w:hAnsi="楷体" w:cs="宋体" w:hint="eastAsia"/>
          <w:color w:val="000000"/>
          <w:kern w:val="0"/>
          <w:szCs w:val="21"/>
        </w:rPr>
        <w:t>宝龙”情况</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马国秋是陈某某研究生同学，</w:t>
      </w:r>
      <w:r w:rsidRPr="009D1190">
        <w:rPr>
          <w:rFonts w:ascii="Times New Roman" w:eastAsia="方正仿宋简体" w:hAnsi="Times New Roman" w:cs="Times New Roman" w:hint="eastAsia"/>
          <w:color w:val="000000"/>
          <w:kern w:val="0"/>
          <w:szCs w:val="21"/>
        </w:rPr>
        <w:t>2011</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12</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30</w:t>
      </w:r>
      <w:r w:rsidRPr="009D1190">
        <w:rPr>
          <w:rFonts w:ascii="方正仿宋简体" w:eastAsia="方正仿宋简体" w:hAnsi="楷体" w:cs="宋体" w:hint="eastAsia"/>
          <w:color w:val="000000"/>
          <w:kern w:val="0"/>
          <w:szCs w:val="21"/>
        </w:rPr>
        <w:t>日、</w:t>
      </w:r>
      <w:r w:rsidRPr="009D1190">
        <w:rPr>
          <w:rFonts w:ascii="Times New Roman" w:eastAsia="方正仿宋简体" w:hAnsi="Times New Roman" w:cs="Times New Roman" w:hint="eastAsia"/>
          <w:color w:val="000000"/>
          <w:kern w:val="0"/>
          <w:szCs w:val="21"/>
        </w:rPr>
        <w:t>2012</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4</w:t>
      </w:r>
      <w:r w:rsidRPr="009D1190">
        <w:rPr>
          <w:rFonts w:ascii="方正仿宋简体" w:eastAsia="方正仿宋简体" w:hAnsi="楷体" w:cs="宋体" w:hint="eastAsia"/>
          <w:color w:val="000000"/>
          <w:kern w:val="0"/>
          <w:szCs w:val="21"/>
        </w:rPr>
        <w:t>日，马国秋控制其本人账户分别委托买入“</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w:t>
      </w:r>
      <w:r w:rsidRPr="009D1190">
        <w:rPr>
          <w:rFonts w:ascii="Times New Roman" w:eastAsia="方正仿宋简体" w:hAnsi="Times New Roman" w:cs="Times New Roman" w:hint="eastAsia"/>
          <w:color w:val="000000"/>
          <w:kern w:val="0"/>
          <w:szCs w:val="21"/>
        </w:rPr>
        <w:t>140,000</w:t>
      </w:r>
      <w:r w:rsidRPr="009D1190">
        <w:rPr>
          <w:rFonts w:ascii="方正仿宋简体" w:eastAsia="方正仿宋简体" w:hAnsi="楷体" w:cs="宋体" w:hint="eastAsia"/>
          <w:color w:val="000000"/>
          <w:kern w:val="0"/>
          <w:szCs w:val="21"/>
        </w:rPr>
        <w:t>股、</w:t>
      </w:r>
      <w:r w:rsidRPr="009D1190">
        <w:rPr>
          <w:rFonts w:ascii="Times New Roman" w:eastAsia="方正仿宋简体" w:hAnsi="Times New Roman" w:cs="Times New Roman" w:hint="eastAsia"/>
          <w:color w:val="000000"/>
          <w:kern w:val="0"/>
          <w:szCs w:val="21"/>
        </w:rPr>
        <w:t>27,200</w:t>
      </w:r>
      <w:r w:rsidRPr="009D1190">
        <w:rPr>
          <w:rFonts w:ascii="方正仿宋简体" w:eastAsia="方正仿宋简体" w:hAnsi="楷体" w:cs="宋体" w:hint="eastAsia"/>
          <w:color w:val="000000"/>
          <w:kern w:val="0"/>
          <w:szCs w:val="21"/>
        </w:rPr>
        <w:t>股，合计成交</w:t>
      </w:r>
      <w:r w:rsidRPr="009D1190">
        <w:rPr>
          <w:rFonts w:ascii="Times New Roman" w:eastAsia="方正仿宋简体" w:hAnsi="Times New Roman" w:cs="Times New Roman" w:hint="eastAsia"/>
          <w:color w:val="000000"/>
          <w:kern w:val="0"/>
          <w:szCs w:val="21"/>
        </w:rPr>
        <w:t>167,200</w:t>
      </w:r>
      <w:r w:rsidRPr="009D1190">
        <w:rPr>
          <w:rFonts w:ascii="方正仿宋简体" w:eastAsia="方正仿宋简体" w:hAnsi="楷体" w:cs="宋体" w:hint="eastAsia"/>
          <w:color w:val="000000"/>
          <w:kern w:val="0"/>
          <w:szCs w:val="21"/>
        </w:rPr>
        <w:t>股；</w:t>
      </w:r>
      <w:r w:rsidRPr="009D1190">
        <w:rPr>
          <w:rFonts w:ascii="Times New Roman" w:eastAsia="方正仿宋简体" w:hAnsi="Times New Roman" w:cs="Times New Roman" w:hint="eastAsia"/>
          <w:color w:val="000000"/>
          <w:kern w:val="0"/>
          <w:szCs w:val="21"/>
        </w:rPr>
        <w:t>2012</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4</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13</w:t>
      </w:r>
      <w:r w:rsidRPr="009D1190">
        <w:rPr>
          <w:rFonts w:ascii="方正仿宋简体" w:eastAsia="方正仿宋简体" w:hAnsi="楷体" w:cs="宋体" w:hint="eastAsia"/>
          <w:color w:val="000000"/>
          <w:kern w:val="0"/>
          <w:szCs w:val="21"/>
        </w:rPr>
        <w:t>日，该账户委托卖出“</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宝龙”，合计成交</w:t>
      </w:r>
      <w:r w:rsidRPr="009D1190">
        <w:rPr>
          <w:rFonts w:ascii="Times New Roman" w:eastAsia="方正仿宋简体" w:hAnsi="Times New Roman" w:cs="Times New Roman" w:hint="eastAsia"/>
          <w:color w:val="000000"/>
          <w:kern w:val="0"/>
          <w:szCs w:val="21"/>
        </w:rPr>
        <w:t>167,200</w:t>
      </w:r>
      <w:r w:rsidRPr="009D1190">
        <w:rPr>
          <w:rFonts w:ascii="方正仿宋简体" w:eastAsia="方正仿宋简体" w:hAnsi="楷体" w:cs="宋体" w:hint="eastAsia"/>
          <w:color w:val="000000"/>
          <w:kern w:val="0"/>
          <w:szCs w:val="21"/>
        </w:rPr>
        <w:t>股。</w:t>
      </w:r>
      <w:r w:rsidRPr="009D1190">
        <w:rPr>
          <w:rFonts w:ascii="方正仿宋简体" w:eastAsia="方正仿宋简体" w:hAnsi="楷体" w:cs="宋体" w:hint="eastAsia"/>
          <w:color w:val="000000"/>
          <w:spacing w:val="6"/>
          <w:kern w:val="0"/>
          <w:szCs w:val="21"/>
        </w:rPr>
        <w:t>“马国秋”账户交易</w:t>
      </w:r>
      <w:r w:rsidRPr="009D1190">
        <w:rPr>
          <w:rFonts w:ascii="方正仿宋简体" w:eastAsia="方正仿宋简体" w:hAnsi="楷体" w:cs="宋体" w:hint="eastAsia"/>
          <w:color w:val="000000"/>
          <w:kern w:val="0"/>
          <w:szCs w:val="21"/>
        </w:rPr>
        <w:t>“</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w:t>
      </w:r>
      <w:r w:rsidRPr="009D1190">
        <w:rPr>
          <w:rFonts w:ascii="方正仿宋简体" w:eastAsia="方正仿宋简体" w:hAnsi="楷体" w:cs="宋体" w:hint="eastAsia"/>
          <w:color w:val="000000"/>
          <w:spacing w:val="6"/>
          <w:kern w:val="0"/>
          <w:szCs w:val="21"/>
        </w:rPr>
        <w:t>实际获利为</w:t>
      </w:r>
      <w:r w:rsidRPr="009D1190">
        <w:rPr>
          <w:rFonts w:ascii="Times New Roman" w:eastAsia="方正仿宋简体" w:hAnsi="Times New Roman" w:cs="Times New Roman" w:hint="eastAsia"/>
          <w:color w:val="000000"/>
          <w:spacing w:val="6"/>
          <w:kern w:val="0"/>
          <w:szCs w:val="21"/>
        </w:rPr>
        <w:t>1,368,933.18</w:t>
      </w:r>
      <w:r w:rsidRPr="009D1190">
        <w:rPr>
          <w:rFonts w:ascii="方正仿宋简体" w:eastAsia="方正仿宋简体" w:hAnsi="楷体" w:cs="宋体" w:hint="eastAsia"/>
          <w:color w:val="000000"/>
          <w:spacing w:val="6"/>
          <w:kern w:val="0"/>
          <w:szCs w:val="21"/>
        </w:rPr>
        <w:t>元。</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根据相关事实，马国秋上述交易构成内幕交易，理由如下：</w:t>
      </w:r>
      <w:r w:rsidRPr="009D1190">
        <w:rPr>
          <w:rFonts w:ascii="Times New Roman" w:eastAsia="方正仿宋简体" w:hAnsi="Times New Roman" w:cs="Times New Roman" w:hint="eastAsia"/>
          <w:color w:val="000000"/>
          <w:kern w:val="0"/>
          <w:szCs w:val="21"/>
        </w:rPr>
        <w:t>1. </w:t>
      </w:r>
      <w:r w:rsidRPr="009D1190">
        <w:rPr>
          <w:rFonts w:ascii="方正仿宋简体" w:eastAsia="方正仿宋简体" w:hAnsi="楷体" w:cs="宋体" w:hint="eastAsia"/>
          <w:color w:val="000000"/>
          <w:kern w:val="0"/>
          <w:szCs w:val="21"/>
        </w:rPr>
        <w:t>马国秋和陈某某关系密切。马国秋和陈某某在内幕信息敏感期内频繁联络接触。经济往来方面，马国秋和陈某某均承认，陈某某帮马国秋所在公司做过投资咨询服务，收取过咨询服务费。马国秋与陈某某之间存在异常大额资金往来。</w:t>
      </w:r>
      <w:r w:rsidRPr="009D1190">
        <w:rPr>
          <w:rFonts w:ascii="Times New Roman" w:eastAsia="方正仿宋简体" w:hAnsi="Times New Roman" w:cs="Times New Roman" w:hint="eastAsia"/>
          <w:color w:val="000000"/>
          <w:kern w:val="0"/>
          <w:szCs w:val="21"/>
        </w:rPr>
        <w:t>2011</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9</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20</w:t>
      </w:r>
      <w:r w:rsidRPr="009D1190">
        <w:rPr>
          <w:rFonts w:ascii="方正仿宋简体" w:eastAsia="方正仿宋简体" w:hAnsi="楷体" w:cs="宋体" w:hint="eastAsia"/>
          <w:color w:val="000000"/>
          <w:kern w:val="0"/>
          <w:szCs w:val="21"/>
        </w:rPr>
        <w:t>日，陈某某控制“陈珍芳”招商银行账户（非“陈珍芳”证券第三方存管银行账户）向马国秋转账</w:t>
      </w:r>
      <w:r w:rsidRPr="009D1190">
        <w:rPr>
          <w:rFonts w:ascii="Times New Roman" w:eastAsia="方正仿宋简体" w:hAnsi="Times New Roman" w:cs="Times New Roman" w:hint="eastAsia"/>
          <w:color w:val="000000"/>
          <w:kern w:val="0"/>
          <w:szCs w:val="21"/>
        </w:rPr>
        <w:t>225</w:t>
      </w:r>
      <w:r w:rsidRPr="009D1190">
        <w:rPr>
          <w:rFonts w:ascii="方正仿宋简体" w:eastAsia="方正仿宋简体" w:hAnsi="楷体" w:cs="宋体" w:hint="eastAsia"/>
          <w:color w:val="000000"/>
          <w:kern w:val="0"/>
          <w:szCs w:val="21"/>
        </w:rPr>
        <w:t>万元，经调查确认该资金未进入“马国秋”证券账户。</w:t>
      </w:r>
      <w:r w:rsidRPr="009D1190">
        <w:rPr>
          <w:rFonts w:ascii="Times New Roman" w:eastAsia="方正仿宋简体" w:hAnsi="Times New Roman" w:cs="Times New Roman" w:hint="eastAsia"/>
          <w:color w:val="000000"/>
          <w:kern w:val="0"/>
          <w:szCs w:val="21"/>
        </w:rPr>
        <w:t>2011</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12</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1</w:t>
      </w:r>
      <w:r w:rsidRPr="009D1190">
        <w:rPr>
          <w:rFonts w:ascii="方正仿宋简体" w:eastAsia="方正仿宋简体" w:hAnsi="楷体" w:cs="宋体" w:hint="eastAsia"/>
          <w:color w:val="000000"/>
          <w:kern w:val="0"/>
          <w:szCs w:val="21"/>
        </w:rPr>
        <w:t>日至</w:t>
      </w:r>
      <w:r w:rsidRPr="009D1190">
        <w:rPr>
          <w:rFonts w:ascii="Times New Roman" w:eastAsia="方正仿宋简体" w:hAnsi="Times New Roman" w:cs="Times New Roman" w:hint="eastAsia"/>
          <w:color w:val="000000"/>
          <w:kern w:val="0"/>
          <w:szCs w:val="21"/>
        </w:rPr>
        <w:t>2012</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31</w:t>
      </w:r>
      <w:r w:rsidRPr="009D1190">
        <w:rPr>
          <w:rFonts w:ascii="方正仿宋简体" w:eastAsia="方正仿宋简体" w:hAnsi="楷体" w:cs="宋体" w:hint="eastAsia"/>
          <w:color w:val="000000"/>
          <w:kern w:val="0"/>
          <w:szCs w:val="21"/>
        </w:rPr>
        <w:t>日期间，马国秋和陈某某共有</w:t>
      </w:r>
      <w:r w:rsidRPr="009D1190">
        <w:rPr>
          <w:rFonts w:ascii="Times New Roman" w:eastAsia="方正仿宋简体" w:hAnsi="Times New Roman" w:cs="Times New Roman" w:hint="eastAsia"/>
          <w:color w:val="000000"/>
          <w:kern w:val="0"/>
          <w:szCs w:val="21"/>
        </w:rPr>
        <w:t>14</w:t>
      </w:r>
      <w:r w:rsidRPr="009D1190">
        <w:rPr>
          <w:rFonts w:ascii="方正仿宋简体" w:eastAsia="方正仿宋简体" w:hAnsi="楷体" w:cs="宋体" w:hint="eastAsia"/>
          <w:color w:val="000000"/>
          <w:kern w:val="0"/>
          <w:szCs w:val="21"/>
        </w:rPr>
        <w:t>次通讯记录，双方在内幕信息敏感期内频繁联络接触。</w:t>
      </w:r>
      <w:r w:rsidRPr="009D1190">
        <w:rPr>
          <w:rFonts w:ascii="Times New Roman" w:eastAsia="方正仿宋简体" w:hAnsi="Times New Roman" w:cs="Times New Roman" w:hint="eastAsia"/>
          <w:color w:val="000000"/>
          <w:kern w:val="0"/>
          <w:szCs w:val="21"/>
        </w:rPr>
        <w:t>2. </w:t>
      </w:r>
      <w:r w:rsidRPr="009D1190">
        <w:rPr>
          <w:rFonts w:ascii="方正仿宋简体" w:eastAsia="方正仿宋简体" w:hAnsi="楷体" w:cs="宋体" w:hint="eastAsia"/>
          <w:color w:val="000000"/>
          <w:kern w:val="0"/>
          <w:szCs w:val="21"/>
        </w:rPr>
        <w:t>马国秋交易行为明显异常，其证券交易活动与内幕信息高度吻合。</w:t>
      </w:r>
      <w:r w:rsidRPr="009D1190">
        <w:rPr>
          <w:rFonts w:ascii="Times New Roman" w:eastAsia="方正仿宋简体" w:hAnsi="Times New Roman" w:cs="Times New Roman" w:hint="eastAsia"/>
          <w:color w:val="000000"/>
          <w:kern w:val="0"/>
          <w:szCs w:val="21"/>
        </w:rPr>
        <w:t>2011</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12</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30</w:t>
      </w:r>
      <w:r w:rsidRPr="009D1190">
        <w:rPr>
          <w:rFonts w:ascii="方正仿宋简体" w:eastAsia="方正仿宋简体" w:hAnsi="楷体" w:cs="宋体" w:hint="eastAsia"/>
          <w:color w:val="000000"/>
          <w:kern w:val="0"/>
          <w:szCs w:val="21"/>
        </w:rPr>
        <w:t>日前“马国秋”账户从未交易过“</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宝龙”，马国秋与陈某某接触期间大量交易涉案证券。</w:t>
      </w:r>
      <w:r w:rsidRPr="009D1190">
        <w:rPr>
          <w:rFonts w:ascii="Times New Roman" w:eastAsia="方正仿宋简体" w:hAnsi="Times New Roman" w:cs="Times New Roman" w:hint="eastAsia"/>
          <w:color w:val="000000"/>
          <w:kern w:val="0"/>
          <w:szCs w:val="21"/>
        </w:rPr>
        <w:t>2011</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12</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29</w:t>
      </w:r>
      <w:r w:rsidRPr="009D1190">
        <w:rPr>
          <w:rFonts w:ascii="方正仿宋简体" w:eastAsia="方正仿宋简体" w:hAnsi="楷体" w:cs="宋体" w:hint="eastAsia"/>
          <w:color w:val="000000"/>
          <w:kern w:val="0"/>
          <w:szCs w:val="21"/>
        </w:rPr>
        <w:t>日晚，马国秋和陈某某有一次通话，</w:t>
      </w:r>
      <w:r w:rsidRPr="009D1190">
        <w:rPr>
          <w:rFonts w:ascii="Times New Roman" w:eastAsia="方正仿宋简体" w:hAnsi="Times New Roman" w:cs="Times New Roman" w:hint="eastAsia"/>
          <w:color w:val="000000"/>
          <w:kern w:val="0"/>
          <w:szCs w:val="21"/>
        </w:rPr>
        <w:t>12</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30</w:t>
      </w:r>
      <w:r w:rsidRPr="009D1190">
        <w:rPr>
          <w:rFonts w:ascii="方正仿宋简体" w:eastAsia="方正仿宋简体" w:hAnsi="楷体" w:cs="宋体" w:hint="eastAsia"/>
          <w:color w:val="000000"/>
          <w:kern w:val="0"/>
          <w:szCs w:val="21"/>
        </w:rPr>
        <w:t>日，“马国秋”账户开始买入“</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w:t>
      </w:r>
      <w:r w:rsidRPr="009D1190">
        <w:rPr>
          <w:rFonts w:ascii="Times New Roman" w:eastAsia="方正仿宋简体" w:hAnsi="Times New Roman" w:cs="Times New Roman" w:hint="eastAsia"/>
          <w:color w:val="000000"/>
          <w:kern w:val="0"/>
          <w:szCs w:val="21"/>
        </w:rPr>
        <w:t>2012</w:t>
      </w:r>
      <w:r w:rsidRPr="009D1190">
        <w:rPr>
          <w:rFonts w:ascii="方正仿宋简体" w:eastAsia="方正仿宋简体" w:hAnsi="楷体" w:cs="宋体" w:hint="eastAsia"/>
          <w:color w:val="000000"/>
          <w:kern w:val="0"/>
          <w:szCs w:val="21"/>
        </w:rPr>
        <w:t>年</w:t>
      </w:r>
      <w:r w:rsidRPr="009D1190">
        <w:rPr>
          <w:rFonts w:ascii="Times New Roman" w:eastAsia="方正仿宋简体" w:hAnsi="Times New Roman" w:cs="Times New Roman" w:hint="eastAsia"/>
          <w:color w:val="000000"/>
          <w:kern w:val="0"/>
          <w:szCs w:val="21"/>
        </w:rPr>
        <w:t>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3</w:t>
      </w:r>
      <w:r w:rsidRPr="009D1190">
        <w:rPr>
          <w:rFonts w:ascii="方正仿宋简体" w:eastAsia="方正仿宋简体" w:hAnsi="楷体" w:cs="宋体" w:hint="eastAsia"/>
          <w:color w:val="000000"/>
          <w:kern w:val="0"/>
          <w:szCs w:val="21"/>
        </w:rPr>
        <w:t>日下午双方有一次通话，</w:t>
      </w:r>
      <w:r w:rsidRPr="009D1190">
        <w:rPr>
          <w:rFonts w:ascii="Times New Roman" w:eastAsia="方正仿宋简体" w:hAnsi="Times New Roman" w:cs="Times New Roman" w:hint="eastAsia"/>
          <w:color w:val="000000"/>
          <w:kern w:val="0"/>
          <w:szCs w:val="21"/>
        </w:rPr>
        <w:t>1</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4</w:t>
      </w:r>
      <w:r w:rsidRPr="009D1190">
        <w:rPr>
          <w:rFonts w:ascii="方正仿宋简体" w:eastAsia="方正仿宋简体" w:hAnsi="楷体" w:cs="宋体" w:hint="eastAsia"/>
          <w:color w:val="000000"/>
          <w:kern w:val="0"/>
          <w:szCs w:val="21"/>
        </w:rPr>
        <w:t>日，“马国秋”账户再次买入“</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宝龙”。“马国秋”账户在“</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宝龙”停牌前集中交易，并在其大量买入前与陈某某存在电话联系，交易行为与联络时间高度吻合，其账户买入后该股票开始停牌，时间非常精准，充分说明其证券交易活动与内幕信息高度吻合。</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马国秋与内幕信息知情人陈某某在内幕信息敏感期内电话联系后，第二日即买入“</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宝龙”等交易行为明显异常，且马国秋无正当理由和正当信息来源。根据《证券法》第七十六条的规定，马国秋在内幕信息敏感期内交易“</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宝龙”的行为构成内幕交易。</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上述违法事实，有相关交易记录、相关协议、通讯记录及当事人询问笔录等证据证明，足以认定。</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马国秋在陈述和申辩中提出：“我不是非法获取内幕信息人”、“我的交易行为不存在明显异常，符合我的一贯交易风格”、“我的交易行为参考了媒体披露的相关报道及研究报告”和“股吧中关于‘</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宝龙’的相关言论坚定了交易”。</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经复核，“马国秋”账户买入“</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宝龙”的时间与内幕信息变化和公开的时间基本一致，买入“</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宝龙”的时间与内幕信息知情人联系的时间基本一致，且买入行为与宝龙公司公开信息反映的基本面相背离。马国秋对其交易“</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宝龙”不能</w:t>
      </w:r>
      <w:proofErr w:type="gramStart"/>
      <w:r w:rsidRPr="009D1190">
        <w:rPr>
          <w:rFonts w:ascii="方正仿宋简体" w:eastAsia="方正仿宋简体" w:hAnsi="楷体" w:cs="宋体" w:hint="eastAsia"/>
          <w:color w:val="000000"/>
          <w:kern w:val="0"/>
          <w:szCs w:val="21"/>
        </w:rPr>
        <w:t>作出</w:t>
      </w:r>
      <w:proofErr w:type="gramEnd"/>
      <w:r w:rsidRPr="009D1190">
        <w:rPr>
          <w:rFonts w:ascii="方正仿宋简体" w:eastAsia="方正仿宋简体" w:hAnsi="楷体" w:cs="宋体" w:hint="eastAsia"/>
          <w:color w:val="000000"/>
          <w:kern w:val="0"/>
          <w:szCs w:val="21"/>
        </w:rPr>
        <w:t>合理说明或提供证据排除其存在利用内幕信息从事证券交易活动。马国秋公证了其提供的作为当时交易依据的股吧信息，但本案涉及的内幕信息核心内容即本次资产重组的时间、对象、条件等具体内容并未披露。马国秋从公开渠道获知的并不是本案所涉及的内幕信息。综上，马国秋利用与陈某某的密切关系，通过电话等联系接触获取了内幕信息，是非法获取内幕信息人。</w:t>
      </w:r>
      <w:r w:rsidRPr="009D1190">
        <w:rPr>
          <w:rFonts w:ascii="方正仿宋简体" w:eastAsia="方正仿宋简体" w:hAnsi="楷体" w:cs="宋体" w:hint="eastAsia"/>
          <w:color w:val="000000"/>
          <w:kern w:val="0"/>
          <w:szCs w:val="21"/>
        </w:rPr>
        <w:lastRenderedPageBreak/>
        <w:t>马国秋从公开渠道获知的并不是本案内幕信息。马国秋交易行为明显异常，其证券交易活动与内幕信息高度吻合。马国秋在内幕信息敏感期内交易“</w:t>
      </w:r>
      <w:r w:rsidRPr="009D1190">
        <w:rPr>
          <w:rFonts w:ascii="Times New Roman" w:eastAsia="方正仿宋简体" w:hAnsi="Times New Roman" w:cs="Times New Roman" w:hint="eastAsia"/>
          <w:color w:val="000000"/>
          <w:kern w:val="0"/>
          <w:szCs w:val="21"/>
        </w:rPr>
        <w:t>ST</w:t>
      </w:r>
      <w:r w:rsidRPr="009D1190">
        <w:rPr>
          <w:rFonts w:ascii="方正仿宋简体" w:eastAsia="方正仿宋简体" w:hAnsi="楷体" w:cs="宋体" w:hint="eastAsia"/>
          <w:color w:val="000000"/>
          <w:kern w:val="0"/>
          <w:szCs w:val="21"/>
        </w:rPr>
        <w:t>宝龙”的行为违反了《证券法》第七十六条的规定构成内幕交易。因此，复核对马国秋的申辩理由不予采纳。</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根据《证券法》第二百零二条的规定，我会决定：没收马国秋违法所得</w:t>
      </w:r>
      <w:r w:rsidRPr="009D1190">
        <w:rPr>
          <w:rFonts w:ascii="Times New Roman" w:eastAsia="方正仿宋简体" w:hAnsi="Times New Roman" w:cs="Times New Roman" w:hint="eastAsia"/>
          <w:color w:val="000000"/>
          <w:kern w:val="0"/>
          <w:szCs w:val="21"/>
        </w:rPr>
        <w:t>1,368,933.18</w:t>
      </w:r>
      <w:r w:rsidRPr="009D1190">
        <w:rPr>
          <w:rFonts w:ascii="方正仿宋简体" w:eastAsia="方正仿宋简体" w:hAnsi="楷体" w:cs="宋体" w:hint="eastAsia"/>
          <w:color w:val="000000"/>
          <w:kern w:val="0"/>
          <w:szCs w:val="21"/>
        </w:rPr>
        <w:t>元，并处以</w:t>
      </w:r>
      <w:r w:rsidRPr="009D1190">
        <w:rPr>
          <w:rFonts w:ascii="Times New Roman" w:eastAsia="方正仿宋简体" w:hAnsi="Times New Roman" w:cs="Times New Roman" w:hint="eastAsia"/>
          <w:color w:val="000000"/>
          <w:kern w:val="0"/>
          <w:szCs w:val="21"/>
        </w:rPr>
        <w:t>1,368,933.18</w:t>
      </w:r>
      <w:r w:rsidRPr="009D1190">
        <w:rPr>
          <w:rFonts w:ascii="方正仿宋简体" w:eastAsia="方正仿宋简体" w:hAnsi="楷体" w:cs="宋体" w:hint="eastAsia"/>
          <w:color w:val="000000"/>
          <w:kern w:val="0"/>
          <w:szCs w:val="21"/>
        </w:rPr>
        <w:t>元的罚款。</w:t>
      </w:r>
    </w:p>
    <w:p w:rsidR="009D1190" w:rsidRPr="009D1190" w:rsidRDefault="009D1190" w:rsidP="009D1190">
      <w:pPr>
        <w:widowControl/>
        <w:shd w:val="clear" w:color="auto" w:fill="FFFFFF"/>
        <w:spacing w:line="360" w:lineRule="atLeast"/>
        <w:ind w:firstLine="420"/>
        <w:jc w:val="lef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上述当事人应自收到本处罚决定书之日起</w:t>
      </w:r>
      <w:r w:rsidRPr="009D1190">
        <w:rPr>
          <w:rFonts w:ascii="Times New Roman" w:eastAsia="方正仿宋简体" w:hAnsi="Times New Roman" w:cs="Times New Roman" w:hint="eastAsia"/>
          <w:color w:val="000000"/>
          <w:kern w:val="0"/>
          <w:szCs w:val="21"/>
        </w:rPr>
        <w:t>15</w:t>
      </w:r>
      <w:r w:rsidRPr="009D1190">
        <w:rPr>
          <w:rFonts w:ascii="方正仿宋简体" w:eastAsia="方正仿宋简体" w:hAnsi="楷体" w:cs="宋体" w:hint="eastAsia"/>
          <w:color w:val="000000"/>
          <w:kern w:val="0"/>
          <w:szCs w:val="21"/>
        </w:rPr>
        <w:t>日内，将罚没款汇交中国证券监督管理委员会（开户银行：中信银行总行营业部、账号</w:t>
      </w:r>
      <w:r w:rsidRPr="009D1190">
        <w:rPr>
          <w:rFonts w:ascii="Times New Roman" w:eastAsia="方正仿宋简体" w:hAnsi="Times New Roman" w:cs="Times New Roman" w:hint="eastAsia"/>
          <w:color w:val="000000"/>
          <w:kern w:val="0"/>
          <w:szCs w:val="21"/>
        </w:rPr>
        <w:t>7111010189800000162</w:t>
      </w:r>
      <w:r w:rsidRPr="009D1190">
        <w:rPr>
          <w:rFonts w:ascii="方正仿宋简体" w:eastAsia="方正仿宋简体" w:hAnsi="楷体" w:cs="宋体" w:hint="eastAsia"/>
          <w:color w:val="000000"/>
          <w:kern w:val="0"/>
          <w:szCs w:val="21"/>
        </w:rPr>
        <w:t>，由该行直接上缴国库），并将注有当事人名称的付款凭证复印件送中国证券监督管理委员会稽查局备案。当事人如果对本处罚决定不服，可在收到本处罚决定书之日起</w:t>
      </w:r>
      <w:r w:rsidRPr="009D1190">
        <w:rPr>
          <w:rFonts w:ascii="Times New Roman" w:eastAsia="方正仿宋简体" w:hAnsi="Times New Roman" w:cs="Times New Roman" w:hint="eastAsia"/>
          <w:color w:val="000000"/>
          <w:kern w:val="0"/>
          <w:szCs w:val="21"/>
        </w:rPr>
        <w:t>60</w:t>
      </w:r>
      <w:r w:rsidRPr="009D1190">
        <w:rPr>
          <w:rFonts w:ascii="方正仿宋简体" w:eastAsia="方正仿宋简体" w:hAnsi="楷体" w:cs="宋体" w:hint="eastAsia"/>
          <w:color w:val="000000"/>
          <w:kern w:val="0"/>
          <w:szCs w:val="21"/>
        </w:rPr>
        <w:t>日内向中国证券监督管理委员会申请行政复议，也可在收到本处罚决定书之日起</w:t>
      </w:r>
      <w:r w:rsidRPr="009D1190">
        <w:rPr>
          <w:rFonts w:ascii="Times New Roman" w:eastAsia="方正仿宋简体" w:hAnsi="Times New Roman" w:cs="Times New Roman" w:hint="eastAsia"/>
          <w:color w:val="000000"/>
          <w:kern w:val="0"/>
          <w:szCs w:val="21"/>
        </w:rPr>
        <w:t>3</w:t>
      </w:r>
      <w:r w:rsidRPr="009D1190">
        <w:rPr>
          <w:rFonts w:ascii="方正仿宋简体" w:eastAsia="方正仿宋简体" w:hAnsi="楷体" w:cs="宋体" w:hint="eastAsia"/>
          <w:color w:val="000000"/>
          <w:kern w:val="0"/>
          <w:szCs w:val="21"/>
        </w:rPr>
        <w:t>个月内直接向有管辖权的人民法院提起行政诉讼。复议和诉讼期间，上述决定不停止执行。</w:t>
      </w:r>
    </w:p>
    <w:p w:rsidR="009D1190" w:rsidRPr="009D1190" w:rsidRDefault="009D1190" w:rsidP="009D119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1190">
        <w:rPr>
          <w:rFonts w:ascii="Calibri" w:eastAsia="楷体" w:hAnsi="Calibri" w:cs="Calibri"/>
          <w:color w:val="000000"/>
          <w:kern w:val="0"/>
          <w:sz w:val="24"/>
          <w:szCs w:val="24"/>
        </w:rPr>
        <w:t> </w:t>
      </w:r>
    </w:p>
    <w:p w:rsidR="009D1190" w:rsidRPr="009D1190" w:rsidRDefault="009D1190" w:rsidP="009D119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1190">
        <w:rPr>
          <w:rFonts w:ascii="Calibri" w:eastAsia="楷体" w:hAnsi="Calibri" w:cs="Calibri"/>
          <w:color w:val="000000"/>
          <w:kern w:val="0"/>
          <w:sz w:val="24"/>
          <w:szCs w:val="24"/>
        </w:rPr>
        <w:t> </w:t>
      </w:r>
    </w:p>
    <w:p w:rsidR="009D1190" w:rsidRPr="009D1190" w:rsidRDefault="009D1190" w:rsidP="009D119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1190">
        <w:rPr>
          <w:rFonts w:ascii="Calibri" w:eastAsia="楷体" w:hAnsi="Calibri" w:cs="Calibri"/>
          <w:color w:val="000000"/>
          <w:kern w:val="0"/>
          <w:sz w:val="24"/>
          <w:szCs w:val="24"/>
        </w:rPr>
        <w:t> </w:t>
      </w:r>
    </w:p>
    <w:p w:rsidR="009D1190" w:rsidRPr="009D1190" w:rsidRDefault="009D1190" w:rsidP="009D119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 xml:space="preserve">中国证监会　</w:t>
      </w:r>
    </w:p>
    <w:p w:rsidR="009D1190" w:rsidRPr="009D1190" w:rsidRDefault="009D1190" w:rsidP="009D1190">
      <w:pPr>
        <w:widowControl/>
        <w:shd w:val="clear" w:color="auto" w:fill="FFFFFF"/>
        <w:wordWrap w:val="0"/>
        <w:spacing w:line="360" w:lineRule="atLeast"/>
        <w:jc w:val="right"/>
        <w:rPr>
          <w:rFonts w:ascii="楷体" w:eastAsia="楷体" w:hAnsi="楷体" w:cs="宋体" w:hint="eastAsia"/>
          <w:color w:val="000000"/>
          <w:kern w:val="0"/>
          <w:sz w:val="24"/>
          <w:szCs w:val="24"/>
        </w:rPr>
      </w:pPr>
      <w:r w:rsidRPr="009D1190">
        <w:rPr>
          <w:rFonts w:ascii="方正仿宋简体" w:eastAsia="方正仿宋简体" w:hAnsi="楷体" w:cs="宋体" w:hint="eastAsia"/>
          <w:color w:val="000000"/>
          <w:kern w:val="0"/>
          <w:szCs w:val="21"/>
        </w:rPr>
        <w:t>2014年</w:t>
      </w:r>
      <w:r w:rsidRPr="009D1190">
        <w:rPr>
          <w:rFonts w:ascii="Times New Roman" w:eastAsia="方正仿宋简体" w:hAnsi="Times New Roman" w:cs="Times New Roman" w:hint="eastAsia"/>
          <w:color w:val="000000"/>
          <w:kern w:val="0"/>
          <w:szCs w:val="21"/>
        </w:rPr>
        <w:t>3</w:t>
      </w:r>
      <w:r w:rsidRPr="009D1190">
        <w:rPr>
          <w:rFonts w:ascii="方正仿宋简体" w:eastAsia="方正仿宋简体" w:hAnsi="楷体" w:cs="宋体" w:hint="eastAsia"/>
          <w:color w:val="000000"/>
          <w:kern w:val="0"/>
          <w:szCs w:val="21"/>
        </w:rPr>
        <w:t>月</w:t>
      </w:r>
      <w:r w:rsidRPr="009D1190">
        <w:rPr>
          <w:rFonts w:ascii="Times New Roman" w:eastAsia="方正仿宋简体" w:hAnsi="Times New Roman" w:cs="Times New Roman" w:hint="eastAsia"/>
          <w:color w:val="000000"/>
          <w:kern w:val="0"/>
          <w:szCs w:val="21"/>
        </w:rPr>
        <w:t>28</w:t>
      </w:r>
      <w:r w:rsidRPr="009D1190">
        <w:rPr>
          <w:rFonts w:ascii="方正仿宋简体" w:eastAsia="方正仿宋简体" w:hAnsi="楷体" w:cs="宋体" w:hint="eastAsia"/>
          <w:color w:val="000000"/>
          <w:kern w:val="0"/>
          <w:szCs w:val="21"/>
        </w:rPr>
        <w:t>日</w:t>
      </w:r>
      <w:r w:rsidRPr="009D1190">
        <w:rPr>
          <w:rFonts w:ascii="Times New Roman" w:eastAsia="楷体" w:hAnsi="Times New Roman" w:cs="Times New Roman"/>
          <w:color w:val="000000"/>
          <w:kern w:val="0"/>
          <w:szCs w:val="21"/>
        </w:rPr>
        <w:t> </w:t>
      </w:r>
    </w:p>
    <w:p w:rsidR="009D1190" w:rsidRPr="009D1190" w:rsidRDefault="009D1190" w:rsidP="009D1190">
      <w:pPr>
        <w:widowControl/>
        <w:shd w:val="clear" w:color="auto" w:fill="FFFFFF"/>
        <w:jc w:val="center"/>
        <w:rPr>
          <w:rFonts w:ascii="微软雅黑" w:eastAsia="微软雅黑" w:hAnsi="微软雅黑" w:cs="宋体" w:hint="eastAsia"/>
          <w:color w:val="000000"/>
          <w:kern w:val="0"/>
          <w:sz w:val="18"/>
          <w:szCs w:val="18"/>
        </w:rPr>
      </w:pPr>
    </w:p>
    <w:tbl>
      <w:tblPr>
        <w:tblW w:w="0" w:type="auto"/>
        <w:jc w:val="center"/>
        <w:tblCellSpacing w:w="15" w:type="dxa"/>
        <w:tblCellMar>
          <w:left w:w="0" w:type="dxa"/>
          <w:right w:w="0" w:type="dxa"/>
        </w:tblCellMar>
        <w:tblLook w:val="04A0" w:firstRow="1" w:lastRow="0" w:firstColumn="1" w:lastColumn="0" w:noHBand="0" w:noVBand="1"/>
      </w:tblPr>
      <w:tblGrid>
        <w:gridCol w:w="945"/>
        <w:gridCol w:w="1230"/>
        <w:gridCol w:w="1230"/>
        <w:gridCol w:w="1245"/>
      </w:tblGrid>
      <w:tr w:rsidR="009D1190" w:rsidRPr="009D1190" w:rsidTr="009D1190">
        <w:trPr>
          <w:tblCellSpacing w:w="15" w:type="dxa"/>
          <w:jc w:val="center"/>
        </w:trPr>
        <w:tc>
          <w:tcPr>
            <w:tcW w:w="900" w:type="dxa"/>
            <w:vAlign w:val="center"/>
            <w:hideMark/>
          </w:tcPr>
          <w:p w:rsidR="009D1190" w:rsidRPr="009D1190" w:rsidRDefault="009D1190" w:rsidP="009D1190">
            <w:pPr>
              <w:widowControl/>
              <w:jc w:val="left"/>
              <w:rPr>
                <w:rFonts w:ascii="宋体" w:eastAsia="宋体" w:hAnsi="宋体" w:cs="宋体" w:hint="eastAsia"/>
                <w:kern w:val="0"/>
                <w:sz w:val="18"/>
                <w:szCs w:val="18"/>
              </w:rPr>
            </w:pPr>
            <w:r w:rsidRPr="009D1190">
              <w:rPr>
                <w:rFonts w:ascii="宋体" w:eastAsia="宋体" w:hAnsi="宋体" w:cs="宋体"/>
                <w:kern w:val="0"/>
                <w:sz w:val="18"/>
                <w:szCs w:val="18"/>
              </w:rPr>
              <w:t> </w:t>
            </w:r>
          </w:p>
        </w:tc>
        <w:tc>
          <w:tcPr>
            <w:tcW w:w="1200" w:type="dxa"/>
            <w:vAlign w:val="center"/>
            <w:hideMark/>
          </w:tcPr>
          <w:p w:rsidR="009D1190" w:rsidRPr="009D1190" w:rsidRDefault="009D1190" w:rsidP="009D1190">
            <w:pPr>
              <w:widowControl/>
              <w:jc w:val="left"/>
              <w:rPr>
                <w:rFonts w:ascii="宋体" w:eastAsia="宋体" w:hAnsi="宋体" w:cs="宋体"/>
                <w:kern w:val="0"/>
                <w:sz w:val="18"/>
                <w:szCs w:val="18"/>
              </w:rPr>
            </w:pPr>
            <w:r w:rsidRPr="009D1190">
              <w:rPr>
                <w:rFonts w:ascii="宋体" w:eastAsia="宋体" w:hAnsi="宋体" w:cs="宋体"/>
                <w:noProof/>
                <w:color w:val="0000FF"/>
                <w:kern w:val="0"/>
                <w:sz w:val="18"/>
                <w:szCs w:val="18"/>
              </w:rPr>
              <w:drawing>
                <wp:inline distT="0" distB="0" distL="0" distR="0">
                  <wp:extent cx="666750" cy="171450"/>
                  <wp:effectExtent l="0" t="0" r="0" b="0"/>
                  <wp:docPr id="3" name="图片 3">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D1190" w:rsidRPr="009D1190" w:rsidRDefault="009D1190" w:rsidP="009D1190">
            <w:pPr>
              <w:widowControl/>
              <w:jc w:val="left"/>
              <w:rPr>
                <w:rFonts w:ascii="宋体" w:eastAsia="宋体" w:hAnsi="宋体" w:cs="宋体"/>
                <w:kern w:val="0"/>
                <w:sz w:val="18"/>
                <w:szCs w:val="18"/>
              </w:rPr>
            </w:pPr>
            <w:r w:rsidRPr="009D1190">
              <w:rPr>
                <w:rFonts w:ascii="宋体" w:eastAsia="宋体" w:hAnsi="宋体" w:cs="宋体"/>
                <w:noProof/>
                <w:color w:val="0000FF"/>
                <w:kern w:val="0"/>
                <w:sz w:val="18"/>
                <w:szCs w:val="18"/>
              </w:rPr>
              <w:drawing>
                <wp:inline distT="0" distB="0" distL="0" distR="0">
                  <wp:extent cx="666750" cy="171450"/>
                  <wp:effectExtent l="0" t="0" r="0" b="0"/>
                  <wp:docPr id="2" name="图片 2">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7"/>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c>
          <w:tcPr>
            <w:tcW w:w="1200" w:type="dxa"/>
            <w:vAlign w:val="center"/>
            <w:hideMark/>
          </w:tcPr>
          <w:p w:rsidR="009D1190" w:rsidRPr="009D1190" w:rsidRDefault="009D1190" w:rsidP="009D1190">
            <w:pPr>
              <w:widowControl/>
              <w:jc w:val="left"/>
              <w:rPr>
                <w:rFonts w:ascii="宋体" w:eastAsia="宋体" w:hAnsi="宋体" w:cs="宋体"/>
                <w:kern w:val="0"/>
                <w:sz w:val="18"/>
                <w:szCs w:val="18"/>
              </w:rPr>
            </w:pPr>
            <w:r w:rsidRPr="009D1190">
              <w:rPr>
                <w:rFonts w:ascii="宋体" w:eastAsia="宋体" w:hAnsi="宋体" w:cs="宋体"/>
                <w:noProof/>
                <w:color w:val="0000FF"/>
                <w:kern w:val="0"/>
                <w:sz w:val="18"/>
                <w:szCs w:val="18"/>
              </w:rPr>
              <w:drawing>
                <wp:inline distT="0" distB="0" distL="0" distR="0">
                  <wp:extent cx="666750" cy="171450"/>
                  <wp:effectExtent l="0" t="0" r="0" b="0"/>
                  <wp:docPr id="1" name="图片 1">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7"/>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6750" cy="171450"/>
                          </a:xfrm>
                          <a:prstGeom prst="rect">
                            <a:avLst/>
                          </a:prstGeom>
                          <a:noFill/>
                          <a:ln>
                            <a:noFill/>
                          </a:ln>
                        </pic:spPr>
                      </pic:pic>
                    </a:graphicData>
                  </a:graphic>
                </wp:inline>
              </w:drawing>
            </w:r>
          </w:p>
        </w:tc>
      </w:tr>
    </w:tbl>
    <w:p w:rsidR="009D1190" w:rsidRPr="009D1190" w:rsidRDefault="009D1190" w:rsidP="009D1190">
      <w:pPr>
        <w:widowControl/>
        <w:jc w:val="center"/>
        <w:rPr>
          <w:rFonts w:ascii="微软雅黑" w:eastAsia="微软雅黑" w:hAnsi="微软雅黑" w:cs="宋体"/>
          <w:color w:val="515151"/>
          <w:kern w:val="0"/>
          <w:sz w:val="18"/>
          <w:szCs w:val="18"/>
        </w:rPr>
      </w:pPr>
      <w:hyperlink r:id="rId11" w:tgtFrame="_blank" w:history="1">
        <w:r w:rsidRPr="009D1190">
          <w:rPr>
            <w:rFonts w:ascii="微软雅黑" w:eastAsia="微软雅黑" w:hAnsi="微软雅黑" w:cs="宋体" w:hint="eastAsia"/>
            <w:color w:val="0000FF"/>
            <w:kern w:val="0"/>
            <w:sz w:val="18"/>
            <w:szCs w:val="18"/>
            <w:u w:val="single"/>
          </w:rPr>
          <w:t>关于我们</w:t>
        </w:r>
      </w:hyperlink>
      <w:r w:rsidRPr="009D1190">
        <w:rPr>
          <w:rFonts w:ascii="微软雅黑" w:eastAsia="微软雅黑" w:hAnsi="微软雅黑" w:cs="宋体" w:hint="eastAsia"/>
          <w:color w:val="515151"/>
          <w:kern w:val="0"/>
          <w:sz w:val="18"/>
          <w:szCs w:val="18"/>
        </w:rPr>
        <w:t> - </w:t>
      </w:r>
      <w:hyperlink r:id="rId12" w:tgtFrame="_blank" w:history="1">
        <w:r w:rsidRPr="009D1190">
          <w:rPr>
            <w:rFonts w:ascii="微软雅黑" w:eastAsia="微软雅黑" w:hAnsi="微软雅黑" w:cs="宋体" w:hint="eastAsia"/>
            <w:color w:val="0000FF"/>
            <w:kern w:val="0"/>
            <w:sz w:val="18"/>
            <w:szCs w:val="18"/>
            <w:u w:val="single"/>
          </w:rPr>
          <w:t>法律声明</w:t>
        </w:r>
      </w:hyperlink>
      <w:r w:rsidRPr="009D1190">
        <w:rPr>
          <w:rFonts w:ascii="微软雅黑" w:eastAsia="微软雅黑" w:hAnsi="微软雅黑" w:cs="宋体" w:hint="eastAsia"/>
          <w:color w:val="515151"/>
          <w:kern w:val="0"/>
          <w:sz w:val="18"/>
          <w:szCs w:val="18"/>
        </w:rPr>
        <w:t> - </w:t>
      </w:r>
      <w:hyperlink r:id="rId13" w:tgtFrame="_blank" w:history="1">
        <w:r w:rsidRPr="009D1190">
          <w:rPr>
            <w:rFonts w:ascii="微软雅黑" w:eastAsia="微软雅黑" w:hAnsi="微软雅黑" w:cs="宋体" w:hint="eastAsia"/>
            <w:color w:val="0000FF"/>
            <w:kern w:val="0"/>
            <w:sz w:val="18"/>
            <w:szCs w:val="18"/>
            <w:u w:val="single"/>
          </w:rPr>
          <w:t>联系我们</w:t>
        </w:r>
      </w:hyperlink>
    </w:p>
    <w:p w:rsidR="009D1190" w:rsidRPr="009D1190" w:rsidRDefault="009D1190" w:rsidP="009D1190">
      <w:pPr>
        <w:widowControl/>
        <w:jc w:val="center"/>
        <w:rPr>
          <w:rFonts w:ascii="微软雅黑" w:eastAsia="微软雅黑" w:hAnsi="微软雅黑" w:cs="宋体" w:hint="eastAsia"/>
          <w:color w:val="515151"/>
          <w:kern w:val="0"/>
          <w:sz w:val="18"/>
          <w:szCs w:val="18"/>
        </w:rPr>
      </w:pPr>
      <w:r w:rsidRPr="009D1190">
        <w:rPr>
          <w:rFonts w:ascii="微软雅黑" w:eastAsia="微软雅黑" w:hAnsi="微软雅黑" w:cs="宋体" w:hint="eastAsia"/>
          <w:color w:val="515151"/>
          <w:kern w:val="0"/>
          <w:sz w:val="18"/>
          <w:szCs w:val="18"/>
        </w:rPr>
        <w:t>版权所有：中国证券监督管理委员会 京ICP备 05035542号</w:t>
      </w:r>
    </w:p>
    <w:p w:rsidR="009D1190" w:rsidRPr="009D1190" w:rsidRDefault="009D1190" w:rsidP="009D1190">
      <w:pPr>
        <w:widowControl/>
        <w:jc w:val="center"/>
        <w:rPr>
          <w:rFonts w:ascii="微软雅黑" w:eastAsia="微软雅黑" w:hAnsi="微软雅黑" w:cs="宋体" w:hint="eastAsia"/>
          <w:color w:val="515151"/>
          <w:kern w:val="0"/>
          <w:sz w:val="18"/>
          <w:szCs w:val="18"/>
        </w:rPr>
      </w:pPr>
      <w:r w:rsidRPr="009D1190">
        <w:rPr>
          <w:rFonts w:ascii="微软雅黑" w:eastAsia="微软雅黑" w:hAnsi="微软雅黑" w:cs="宋体" w:hint="eastAsia"/>
          <w:color w:val="515151"/>
          <w:kern w:val="0"/>
          <w:sz w:val="18"/>
          <w:szCs w:val="18"/>
        </w:rPr>
        <w:t>地址：北京市西城区金融大街19号富凯大厦A座 邮编：100033</w:t>
      </w:r>
    </w:p>
    <w:p w:rsidR="009D1190" w:rsidRPr="009D1190" w:rsidRDefault="009D1190" w:rsidP="009D1190">
      <w:pPr>
        <w:widowControl/>
        <w:jc w:val="center"/>
        <w:rPr>
          <w:rFonts w:ascii="微软雅黑" w:eastAsia="微软雅黑" w:hAnsi="微软雅黑" w:cs="宋体" w:hint="eastAsia"/>
          <w:color w:val="515151"/>
          <w:kern w:val="0"/>
          <w:sz w:val="18"/>
          <w:szCs w:val="18"/>
        </w:rPr>
      </w:pPr>
      <w:r w:rsidRPr="009D1190">
        <w:rPr>
          <w:rFonts w:ascii="微软雅黑" w:eastAsia="微软雅黑" w:hAnsi="微软雅黑" w:cs="宋体" w:hint="eastAsia"/>
          <w:color w:val="515151"/>
          <w:kern w:val="0"/>
          <w:sz w:val="18"/>
          <w:szCs w:val="18"/>
        </w:rPr>
        <w:t>建议使用IE5.5以上浏览器，分辨率1024*768</w:t>
      </w:r>
    </w:p>
    <w:p w:rsidR="005E7404" w:rsidRPr="009D1190" w:rsidRDefault="005E7404">
      <w:bookmarkStart w:id="0" w:name="_GoBack"/>
      <w:bookmarkEnd w:id="0"/>
    </w:p>
    <w:sectPr w:rsidR="005E7404" w:rsidRPr="009D119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黑体">
    <w:altName w:val="SimHei"/>
    <w:panose1 w:val="02010609060101010101"/>
    <w:charset w:val="86"/>
    <w:family w:val="modern"/>
    <w:pitch w:val="fixed"/>
    <w:sig w:usb0="800002BF" w:usb1="38CF7CFA" w:usb2="00000016" w:usb3="00000000" w:csb0="00040001" w:csb1="00000000"/>
  </w:font>
  <w:font w:name="方正仿宋简体">
    <w:altName w:val="宋体"/>
    <w:panose1 w:val="00000000000000000000"/>
    <w:charset w:val="86"/>
    <w:family w:val="roman"/>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黑体简体">
    <w:altName w:val="宋体"/>
    <w:panose1 w:val="00000000000000000000"/>
    <w:charset w:val="86"/>
    <w:family w:val="roman"/>
    <w:notTrueType/>
    <w:pitch w:val="default"/>
    <w:sig w:usb0="00000001" w:usb1="080E0000" w:usb2="00000010" w:usb3="00000000" w:csb0="00040000" w:csb1="00000000"/>
  </w:font>
  <w:font w:name="Calibri">
    <w:panose1 w:val="020F0502020204030204"/>
    <w:charset w:val="00"/>
    <w:family w:val="swiss"/>
    <w:pitch w:val="variable"/>
    <w:sig w:usb0="E0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1190"/>
    <w:rsid w:val="005E7404"/>
    <w:rsid w:val="009D11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E0A2598-C81E-41C0-AAD5-6B6469ADA5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D1190"/>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9D1190"/>
    <w:rPr>
      <w:b/>
      <w:bCs/>
    </w:rPr>
  </w:style>
  <w:style w:type="paragraph" w:customStyle="1" w:styleId="p0">
    <w:name w:val="p0"/>
    <w:basedOn w:val="a"/>
    <w:rsid w:val="009D1190"/>
    <w:pPr>
      <w:widowControl/>
      <w:spacing w:before="100" w:beforeAutospacing="1" w:after="100" w:afterAutospacing="1"/>
      <w:jc w:val="left"/>
    </w:pPr>
    <w:rPr>
      <w:rFonts w:ascii="宋体" w:eastAsia="宋体" w:hAnsi="宋体" w:cs="宋体"/>
      <w:kern w:val="0"/>
      <w:sz w:val="24"/>
      <w:szCs w:val="24"/>
    </w:rPr>
  </w:style>
  <w:style w:type="paragraph" w:customStyle="1" w:styleId="p16">
    <w:name w:val="p16"/>
    <w:basedOn w:val="a"/>
    <w:rsid w:val="009D1190"/>
    <w:pPr>
      <w:widowControl/>
      <w:spacing w:before="100" w:beforeAutospacing="1" w:after="100" w:afterAutospacing="1"/>
      <w:jc w:val="left"/>
    </w:pPr>
    <w:rPr>
      <w:rFonts w:ascii="宋体" w:eastAsia="宋体" w:hAnsi="宋体" w:cs="宋体"/>
      <w:kern w:val="0"/>
      <w:sz w:val="24"/>
      <w:szCs w:val="24"/>
    </w:rPr>
  </w:style>
  <w:style w:type="paragraph" w:customStyle="1" w:styleId="p19">
    <w:name w:val="p19"/>
    <w:basedOn w:val="a"/>
    <w:rsid w:val="009D1190"/>
    <w:pPr>
      <w:widowControl/>
      <w:spacing w:before="100" w:beforeAutospacing="1" w:after="100" w:afterAutospacing="1"/>
      <w:jc w:val="left"/>
    </w:pPr>
    <w:rPr>
      <w:rFonts w:ascii="宋体" w:eastAsia="宋体" w:hAnsi="宋体" w:cs="宋体"/>
      <w:kern w:val="0"/>
      <w:sz w:val="24"/>
      <w:szCs w:val="24"/>
    </w:rPr>
  </w:style>
  <w:style w:type="paragraph" w:customStyle="1" w:styleId="p15">
    <w:name w:val="p15"/>
    <w:basedOn w:val="a"/>
    <w:rsid w:val="009D1190"/>
    <w:pPr>
      <w:widowControl/>
      <w:spacing w:before="100" w:beforeAutospacing="1" w:after="100" w:afterAutospacing="1"/>
      <w:jc w:val="left"/>
    </w:pPr>
    <w:rPr>
      <w:rFonts w:ascii="宋体" w:eastAsia="宋体" w:hAnsi="宋体" w:cs="宋体"/>
      <w:kern w:val="0"/>
      <w:sz w:val="24"/>
      <w:szCs w:val="24"/>
    </w:rPr>
  </w:style>
  <w:style w:type="character" w:styleId="a5">
    <w:name w:val="Hyperlink"/>
    <w:basedOn w:val="a0"/>
    <w:uiPriority w:val="99"/>
    <w:semiHidden/>
    <w:unhideWhenUsed/>
    <w:rsid w:val="009D119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8073">
      <w:bodyDiv w:val="1"/>
      <w:marLeft w:val="0"/>
      <w:marRight w:val="0"/>
      <w:marTop w:val="0"/>
      <w:marBottom w:val="0"/>
      <w:divBdr>
        <w:top w:val="none" w:sz="0" w:space="0" w:color="auto"/>
        <w:left w:val="none" w:sz="0" w:space="0" w:color="auto"/>
        <w:bottom w:val="none" w:sz="0" w:space="0" w:color="auto"/>
        <w:right w:val="none" w:sz="0" w:space="0" w:color="auto"/>
      </w:divBdr>
      <w:divsChild>
        <w:div w:id="176896627">
          <w:marLeft w:val="0"/>
          <w:marRight w:val="0"/>
          <w:marTop w:val="150"/>
          <w:marBottom w:val="150"/>
          <w:divBdr>
            <w:top w:val="none" w:sz="0" w:space="0" w:color="auto"/>
            <w:left w:val="none" w:sz="0" w:space="0" w:color="auto"/>
            <w:bottom w:val="none" w:sz="0" w:space="0" w:color="auto"/>
            <w:right w:val="none" w:sz="0" w:space="0" w:color="auto"/>
          </w:divBdr>
        </w:div>
        <w:div w:id="1816948492">
          <w:marLeft w:val="0"/>
          <w:marRight w:val="0"/>
          <w:marTop w:val="0"/>
          <w:marBottom w:val="0"/>
          <w:divBdr>
            <w:top w:val="single" w:sz="6" w:space="8" w:color="B5B5B5"/>
            <w:left w:val="single" w:sz="6" w:space="0" w:color="B5B5B5"/>
            <w:bottom w:val="single" w:sz="6" w:space="8" w:color="B5B5B5"/>
            <w:right w:val="single" w:sz="6" w:space="0" w:color="B5B5B5"/>
          </w:divBdr>
          <w:divsChild>
            <w:div w:id="1839346798">
              <w:marLeft w:val="0"/>
              <w:marRight w:val="0"/>
              <w:marTop w:val="0"/>
              <w:marBottom w:val="0"/>
              <w:divBdr>
                <w:top w:val="none" w:sz="0" w:space="0" w:color="auto"/>
                <w:left w:val="none" w:sz="0" w:space="0" w:color="auto"/>
                <w:bottom w:val="none" w:sz="0" w:space="0" w:color="auto"/>
                <w:right w:val="none" w:sz="0" w:space="0" w:color="auto"/>
              </w:divBdr>
            </w:div>
            <w:div w:id="1854876841">
              <w:marLeft w:val="0"/>
              <w:marRight w:val="0"/>
              <w:marTop w:val="0"/>
              <w:marBottom w:val="0"/>
              <w:divBdr>
                <w:top w:val="none" w:sz="0" w:space="0" w:color="auto"/>
                <w:left w:val="none" w:sz="0" w:space="0" w:color="auto"/>
                <w:bottom w:val="none" w:sz="0" w:space="0" w:color="auto"/>
                <w:right w:val="none" w:sz="0" w:space="0" w:color="auto"/>
              </w:divBdr>
            </w:div>
            <w:div w:id="759330307">
              <w:marLeft w:val="0"/>
              <w:marRight w:val="0"/>
              <w:marTop w:val="120"/>
              <w:marBottom w:val="120"/>
              <w:divBdr>
                <w:top w:val="none" w:sz="0" w:space="0" w:color="auto"/>
                <w:left w:val="none" w:sz="0" w:space="0" w:color="auto"/>
                <w:bottom w:val="none" w:sz="0" w:space="0" w:color="auto"/>
                <w:right w:val="none" w:sz="0" w:space="0" w:color="auto"/>
              </w:divBdr>
            </w:div>
          </w:divsChild>
        </w:div>
        <w:div w:id="1569269194">
          <w:marLeft w:val="0"/>
          <w:marRight w:val="0"/>
          <w:marTop w:val="120"/>
          <w:marBottom w:val="0"/>
          <w:divBdr>
            <w:top w:val="none" w:sz="0" w:space="0" w:color="auto"/>
            <w:left w:val="none" w:sz="0" w:space="0" w:color="auto"/>
            <w:bottom w:val="none" w:sz="0" w:space="0" w:color="auto"/>
            <w:right w:val="none" w:sz="0" w:space="0" w:color="auto"/>
          </w:divBdr>
          <w:divsChild>
            <w:div w:id="1199851742">
              <w:marLeft w:val="0"/>
              <w:marRight w:val="0"/>
              <w:marTop w:val="60"/>
              <w:marBottom w:val="0"/>
              <w:divBdr>
                <w:top w:val="none" w:sz="0" w:space="0" w:color="auto"/>
                <w:left w:val="none" w:sz="0" w:space="0" w:color="auto"/>
                <w:bottom w:val="none" w:sz="0" w:space="0" w:color="auto"/>
                <w:right w:val="none" w:sz="0" w:space="0" w:color="auto"/>
              </w:divBdr>
            </w:div>
            <w:div w:id="251625285">
              <w:marLeft w:val="0"/>
              <w:marRight w:val="0"/>
              <w:marTop w:val="60"/>
              <w:marBottom w:val="0"/>
              <w:divBdr>
                <w:top w:val="none" w:sz="0" w:space="0" w:color="auto"/>
                <w:left w:val="none" w:sz="0" w:space="0" w:color="auto"/>
                <w:bottom w:val="none" w:sz="0" w:space="0" w:color="auto"/>
                <w:right w:val="none" w:sz="0" w:space="0" w:color="auto"/>
              </w:divBdr>
            </w:div>
            <w:div w:id="365640430">
              <w:marLeft w:val="0"/>
              <w:marRight w:val="0"/>
              <w:marTop w:val="60"/>
              <w:marBottom w:val="0"/>
              <w:divBdr>
                <w:top w:val="none" w:sz="0" w:space="0" w:color="auto"/>
                <w:left w:val="none" w:sz="0" w:space="0" w:color="auto"/>
                <w:bottom w:val="none" w:sz="0" w:space="0" w:color="auto"/>
                <w:right w:val="none" w:sz="0" w:space="0" w:color="auto"/>
              </w:divBdr>
            </w:div>
            <w:div w:id="1165630131">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hyperlink" Target="http://www.csrc.gov.cn/pub/newsite/fzlm/lxwm/" TargetMode="External"/><Relationship Id="rId3" Type="http://schemas.openxmlformats.org/officeDocument/2006/relationships/webSettings" Target="webSettings.xml"/><Relationship Id="rId7" Type="http://schemas.openxmlformats.org/officeDocument/2006/relationships/hyperlink" Target="http://www.csrc.gov.cn/pub/zjhpublic/G00306212/201405/t20140523_249560.htm?keywords=%E5%86%85%E5%B9%95%E4%BA%A4%E6%98%93" TargetMode="External"/><Relationship Id="rId12" Type="http://schemas.openxmlformats.org/officeDocument/2006/relationships/hyperlink" Target="http://www.csrc.gov.cn/pub/newsite/fzlm/fls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1.xml"/><Relationship Id="rId11" Type="http://schemas.openxmlformats.org/officeDocument/2006/relationships/hyperlink" Target="http://www.csrc.gov.cn/pub/newsite/fzlm/gywm/" TargetMode="External"/><Relationship Id="rId5" Type="http://schemas.openxmlformats.org/officeDocument/2006/relationships/image" Target="media/image2.wmf"/><Relationship Id="rId15" Type="http://schemas.openxmlformats.org/officeDocument/2006/relationships/theme" Target="theme/theme1.xml"/><Relationship Id="rId10" Type="http://schemas.openxmlformats.org/officeDocument/2006/relationships/image" Target="media/image5.gif"/><Relationship Id="rId4" Type="http://schemas.openxmlformats.org/officeDocument/2006/relationships/image" Target="media/image1.jpeg"/><Relationship Id="rId9" Type="http://schemas.openxmlformats.org/officeDocument/2006/relationships/image" Target="media/image4.gif"/><Relationship Id="rId14"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8856F961-340A-11D0-A96B-00C04FD705A2}" ax:persistence="persistStorage" r:id="rId1"/>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487</Words>
  <Characters>2777</Characters>
  <Application>Microsoft Office Word</Application>
  <DocSecurity>0</DocSecurity>
  <Lines>23</Lines>
  <Paragraphs>6</Paragraphs>
  <ScaleCrop>false</ScaleCrop>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 新波</dc:creator>
  <cp:keywords/>
  <dc:description/>
  <cp:lastModifiedBy>林 新波</cp:lastModifiedBy>
  <cp:revision>1</cp:revision>
  <dcterms:created xsi:type="dcterms:W3CDTF">2020-02-19T13:55:00Z</dcterms:created>
  <dcterms:modified xsi:type="dcterms:W3CDTF">2020-02-19T13:55:00Z</dcterms:modified>
</cp:coreProperties>
</file>