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DA6" w:rsidRPr="007D0DA6" w:rsidRDefault="007D0DA6" w:rsidP="007D0DA6">
      <w:pPr>
        <w:widowControl/>
        <w:jc w:val="center"/>
        <w:rPr>
          <w:rFonts w:ascii="微软雅黑" w:eastAsia="微软雅黑" w:hAnsi="微软雅黑" w:cs="宋体"/>
          <w:color w:val="000000"/>
          <w:kern w:val="0"/>
          <w:sz w:val="18"/>
          <w:szCs w:val="18"/>
        </w:rPr>
      </w:pPr>
      <w:r w:rsidRPr="007D0DA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D0DA6" w:rsidRPr="007D0DA6" w:rsidTr="007D0DA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0DA6" w:rsidRPr="007D0DA6">
              <w:trPr>
                <w:tblCellSpacing w:w="0" w:type="dxa"/>
              </w:trPr>
              <w:tc>
                <w:tcPr>
                  <w:tcW w:w="2500" w:type="pct"/>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hint="eastAsia"/>
                      <w:color w:val="686868"/>
                      <w:kern w:val="0"/>
                      <w:sz w:val="18"/>
                      <w:szCs w:val="18"/>
                    </w:rPr>
                  </w:pPr>
                  <w:r w:rsidRPr="007D0DA6">
                    <w:rPr>
                      <w:rFonts w:ascii="宋体" w:eastAsia="宋体" w:hAnsi="宋体" w:cs="宋体"/>
                      <w:b/>
                      <w:bCs/>
                      <w:color w:val="686868"/>
                      <w:kern w:val="0"/>
                      <w:sz w:val="18"/>
                      <w:szCs w:val="18"/>
                    </w:rPr>
                    <w:t>索 引 号:</w:t>
                  </w:r>
                  <w:r w:rsidRPr="007D0DA6">
                    <w:rPr>
                      <w:rFonts w:ascii="宋体" w:eastAsia="宋体" w:hAnsi="宋体" w:cs="宋体"/>
                      <w:color w:val="686868"/>
                      <w:kern w:val="0"/>
                      <w:sz w:val="18"/>
                      <w:szCs w:val="18"/>
                    </w:rPr>
                    <w:t>40000895X/2014-01145</w:t>
                  </w:r>
                </w:p>
              </w:tc>
              <w:tc>
                <w:tcPr>
                  <w:tcW w:w="0" w:type="auto"/>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分类:</w:t>
                  </w:r>
                  <w:r w:rsidRPr="007D0DA6">
                    <w:rPr>
                      <w:rFonts w:ascii="宋体" w:eastAsia="宋体" w:hAnsi="宋体" w:cs="宋体"/>
                      <w:color w:val="686868"/>
                      <w:kern w:val="0"/>
                      <w:sz w:val="18"/>
                      <w:szCs w:val="18"/>
                    </w:rPr>
                    <w:t> 行政处罚 ; 行政处罚决定</w:t>
                  </w:r>
                </w:p>
              </w:tc>
            </w:tr>
          </w:tbl>
          <w:p w:rsidR="007D0DA6" w:rsidRPr="007D0DA6" w:rsidRDefault="007D0DA6" w:rsidP="007D0DA6">
            <w:pPr>
              <w:widowControl/>
              <w:jc w:val="left"/>
              <w:rPr>
                <w:rFonts w:ascii="宋体" w:eastAsia="宋体" w:hAnsi="宋体" w:cs="宋体"/>
                <w:color w:val="686868"/>
                <w:kern w:val="0"/>
                <w:sz w:val="18"/>
                <w:szCs w:val="18"/>
              </w:rPr>
            </w:pPr>
          </w:p>
        </w:tc>
      </w:tr>
      <w:tr w:rsidR="007D0DA6" w:rsidRPr="007D0DA6" w:rsidTr="007D0DA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0DA6" w:rsidRPr="007D0DA6">
              <w:trPr>
                <w:tblCellSpacing w:w="0" w:type="dxa"/>
              </w:trPr>
              <w:tc>
                <w:tcPr>
                  <w:tcW w:w="2500" w:type="pct"/>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发布机构:</w:t>
                  </w:r>
                  <w:r w:rsidRPr="007D0DA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发文日期:</w:t>
                  </w:r>
                  <w:r w:rsidRPr="007D0DA6">
                    <w:rPr>
                      <w:rFonts w:ascii="宋体" w:eastAsia="宋体" w:hAnsi="宋体" w:cs="宋体"/>
                      <w:color w:val="686868"/>
                      <w:kern w:val="0"/>
                      <w:sz w:val="18"/>
                      <w:szCs w:val="18"/>
                    </w:rPr>
                    <w:t> 2014年01月09日</w:t>
                  </w:r>
                </w:p>
              </w:tc>
            </w:tr>
          </w:tbl>
          <w:p w:rsidR="007D0DA6" w:rsidRPr="007D0DA6" w:rsidRDefault="007D0DA6" w:rsidP="007D0DA6">
            <w:pPr>
              <w:widowControl/>
              <w:jc w:val="left"/>
              <w:rPr>
                <w:rFonts w:ascii="宋体" w:eastAsia="宋体" w:hAnsi="宋体" w:cs="宋体"/>
                <w:color w:val="686868"/>
                <w:kern w:val="0"/>
                <w:sz w:val="18"/>
                <w:szCs w:val="18"/>
              </w:rPr>
            </w:pPr>
          </w:p>
        </w:tc>
      </w:tr>
      <w:tr w:rsidR="007D0DA6" w:rsidRPr="007D0DA6" w:rsidTr="007D0DA6">
        <w:trPr>
          <w:tblCellSpacing w:w="0" w:type="dxa"/>
          <w:jc w:val="center"/>
        </w:trPr>
        <w:tc>
          <w:tcPr>
            <w:tcW w:w="0" w:type="auto"/>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名　　称:</w:t>
            </w:r>
            <w:r w:rsidRPr="007D0DA6">
              <w:rPr>
                <w:rFonts w:ascii="宋体" w:eastAsia="宋体" w:hAnsi="宋体" w:cs="宋体"/>
                <w:color w:val="686868"/>
                <w:kern w:val="0"/>
                <w:sz w:val="18"/>
                <w:szCs w:val="18"/>
              </w:rPr>
              <w:t> 中国证监会行政处罚决定书（段晓军）</w:t>
            </w:r>
          </w:p>
        </w:tc>
      </w:tr>
      <w:tr w:rsidR="007D0DA6" w:rsidRPr="007D0DA6" w:rsidTr="007D0DA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0DA6" w:rsidRPr="007D0DA6">
              <w:trPr>
                <w:tblCellSpacing w:w="0" w:type="dxa"/>
              </w:trPr>
              <w:tc>
                <w:tcPr>
                  <w:tcW w:w="2500" w:type="pct"/>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文　　号:</w:t>
                  </w:r>
                  <w:r w:rsidRPr="007D0DA6">
                    <w:rPr>
                      <w:rFonts w:ascii="宋体" w:eastAsia="宋体" w:hAnsi="宋体" w:cs="宋体"/>
                      <w:color w:val="686868"/>
                      <w:kern w:val="0"/>
                      <w:sz w:val="18"/>
                      <w:szCs w:val="18"/>
                    </w:rPr>
                    <w:t> </w:t>
                  </w:r>
                  <w:bookmarkStart w:id="0" w:name="_GoBack"/>
                  <w:r w:rsidRPr="007D0DA6">
                    <w:rPr>
                      <w:rFonts w:ascii="宋体" w:eastAsia="宋体" w:hAnsi="宋体" w:cs="宋体"/>
                      <w:color w:val="686868"/>
                      <w:kern w:val="0"/>
                      <w:sz w:val="18"/>
                      <w:szCs w:val="18"/>
                    </w:rPr>
                    <w:t>〔2014〕5号</w:t>
                  </w:r>
                  <w:bookmarkEnd w:id="0"/>
                </w:p>
              </w:tc>
              <w:tc>
                <w:tcPr>
                  <w:tcW w:w="0" w:type="auto"/>
                  <w:tcMar>
                    <w:top w:w="30" w:type="dxa"/>
                    <w:left w:w="30" w:type="dxa"/>
                    <w:bottom w:w="30" w:type="dxa"/>
                    <w:right w:w="30" w:type="dxa"/>
                  </w:tcMar>
                  <w:hideMark/>
                </w:tcPr>
                <w:p w:rsidR="007D0DA6" w:rsidRPr="007D0DA6" w:rsidRDefault="007D0DA6" w:rsidP="007D0DA6">
                  <w:pPr>
                    <w:widowControl/>
                    <w:jc w:val="left"/>
                    <w:rPr>
                      <w:rFonts w:ascii="宋体" w:eastAsia="宋体" w:hAnsi="宋体" w:cs="宋体"/>
                      <w:color w:val="686868"/>
                      <w:kern w:val="0"/>
                      <w:sz w:val="18"/>
                      <w:szCs w:val="18"/>
                    </w:rPr>
                  </w:pPr>
                  <w:r w:rsidRPr="007D0DA6">
                    <w:rPr>
                      <w:rFonts w:ascii="宋体" w:eastAsia="宋体" w:hAnsi="宋体" w:cs="宋体"/>
                      <w:b/>
                      <w:bCs/>
                      <w:color w:val="686868"/>
                      <w:kern w:val="0"/>
                      <w:sz w:val="18"/>
                      <w:szCs w:val="18"/>
                    </w:rPr>
                    <w:t>主 题 词:</w:t>
                  </w:r>
                </w:p>
              </w:tc>
            </w:tr>
          </w:tbl>
          <w:p w:rsidR="007D0DA6" w:rsidRPr="007D0DA6" w:rsidRDefault="007D0DA6" w:rsidP="007D0DA6">
            <w:pPr>
              <w:widowControl/>
              <w:jc w:val="left"/>
              <w:rPr>
                <w:rFonts w:ascii="宋体" w:eastAsia="宋体" w:hAnsi="宋体" w:cs="宋体"/>
                <w:color w:val="686868"/>
                <w:kern w:val="0"/>
                <w:sz w:val="18"/>
                <w:szCs w:val="18"/>
              </w:rPr>
            </w:pPr>
          </w:p>
        </w:tc>
      </w:tr>
    </w:tbl>
    <w:p w:rsidR="007D0DA6" w:rsidRPr="007D0DA6" w:rsidRDefault="007D0DA6" w:rsidP="007D0DA6">
      <w:pPr>
        <w:widowControl/>
        <w:jc w:val="center"/>
        <w:rPr>
          <w:rFonts w:ascii="微软雅黑" w:eastAsia="微软雅黑" w:hAnsi="微软雅黑" w:cs="宋体"/>
          <w:color w:val="000000"/>
          <w:kern w:val="0"/>
          <w:sz w:val="18"/>
          <w:szCs w:val="18"/>
        </w:rPr>
      </w:pPr>
      <w:r w:rsidRPr="007D0DA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D0DA6" w:rsidRPr="007D0DA6" w:rsidRDefault="007D0DA6" w:rsidP="007D0DA6">
      <w:pPr>
        <w:widowControl/>
        <w:shd w:val="clear" w:color="auto" w:fill="FFFFFF"/>
        <w:spacing w:after="240"/>
        <w:jc w:val="center"/>
        <w:rPr>
          <w:rFonts w:ascii="微软雅黑" w:eastAsia="微软雅黑" w:hAnsi="微软雅黑" w:cs="宋体" w:hint="eastAsia"/>
          <w:color w:val="000000"/>
          <w:kern w:val="0"/>
          <w:sz w:val="18"/>
          <w:szCs w:val="18"/>
        </w:rPr>
      </w:pPr>
      <w:r w:rsidRPr="007D0DA6">
        <w:rPr>
          <w:rFonts w:ascii="微软雅黑" w:eastAsia="微软雅黑" w:hAnsi="微软雅黑" w:cs="宋体" w:hint="eastAsia"/>
          <w:color w:val="000000"/>
          <w:kern w:val="0"/>
          <w:sz w:val="18"/>
          <w:szCs w:val="18"/>
        </w:rPr>
        <w:br/>
      </w:r>
      <w:r w:rsidRPr="007D0DA6">
        <w:rPr>
          <w:rFonts w:ascii="黑体" w:eastAsia="黑体" w:hAnsi="黑体" w:cs="宋体" w:hint="eastAsia"/>
          <w:b/>
          <w:bCs/>
          <w:color w:val="FF0000"/>
          <w:kern w:val="0"/>
          <w:sz w:val="36"/>
          <w:szCs w:val="36"/>
        </w:rPr>
        <w:t>中国证监会行政处罚决定书（段晓军）</w:t>
      </w:r>
    </w:p>
    <w:p w:rsidR="007D0DA6" w:rsidRPr="007D0DA6" w:rsidRDefault="007D0DA6" w:rsidP="007D0DA6">
      <w:pPr>
        <w:widowControl/>
        <w:shd w:val="clear" w:color="auto" w:fill="FFFFFF"/>
        <w:spacing w:line="360" w:lineRule="atLeast"/>
        <w:jc w:val="center"/>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w:t>
      </w:r>
      <w:r w:rsidRPr="007D0DA6">
        <w:rPr>
          <w:rFonts w:ascii="Times New Roman" w:eastAsia="方正仿宋简体" w:hAnsi="Times New Roman" w:cs="Times New Roman" w:hint="eastAsia"/>
          <w:color w:val="000000"/>
          <w:kern w:val="0"/>
          <w:szCs w:val="21"/>
        </w:rPr>
        <w:t>2014</w:t>
      </w:r>
      <w:r w:rsidRPr="007D0DA6">
        <w:rPr>
          <w:rFonts w:ascii="方正仿宋简体" w:eastAsia="方正仿宋简体" w:hAnsi="楷体" w:cs="宋体" w:hint="eastAsia"/>
          <w:color w:val="000000"/>
          <w:kern w:val="0"/>
          <w:szCs w:val="21"/>
        </w:rPr>
        <w:t>〕</w:t>
      </w:r>
      <w:r w:rsidRPr="007D0DA6">
        <w:rPr>
          <w:rFonts w:ascii="Times New Roman" w:eastAsia="方正仿宋简体" w:hAnsi="Times New Roman" w:cs="Times New Roman" w:hint="eastAsia"/>
          <w:color w:val="000000"/>
          <w:kern w:val="0"/>
          <w:szCs w:val="21"/>
        </w:rPr>
        <w:t>5</w:t>
      </w:r>
      <w:r w:rsidRPr="007D0DA6">
        <w:rPr>
          <w:rFonts w:ascii="方正仿宋简体" w:eastAsia="方正仿宋简体" w:hAnsi="楷体" w:cs="宋体" w:hint="eastAsia"/>
          <w:color w:val="000000"/>
          <w:kern w:val="0"/>
          <w:szCs w:val="21"/>
        </w:rPr>
        <w:t>号</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当事人：段晓军，男，1967年</w:t>
      </w:r>
      <w:r w:rsidRPr="007D0DA6">
        <w:rPr>
          <w:rFonts w:ascii="Times New Roman" w:eastAsia="方正仿宋简体" w:hAnsi="Times New Roman" w:cs="Times New Roman" w:hint="eastAsia"/>
          <w:color w:val="000000"/>
          <w:kern w:val="0"/>
          <w:szCs w:val="21"/>
        </w:rPr>
        <w:t>3</w:t>
      </w:r>
      <w:r w:rsidRPr="007D0DA6">
        <w:rPr>
          <w:rFonts w:ascii="方正仿宋简体" w:eastAsia="方正仿宋简体" w:hAnsi="楷体" w:cs="宋体" w:hint="eastAsia"/>
          <w:color w:val="000000"/>
          <w:kern w:val="0"/>
          <w:szCs w:val="21"/>
        </w:rPr>
        <w:t>月出生。住址：辽宁省大连市沙河口区联兴巷。</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依据《中华人民共和国证券法》（以下简称《证券法》）有关规定，我会对段晓军涉嫌内幕交易行为进行了立案调查、审理，并依法向当事人告知了</w:t>
      </w:r>
      <w:proofErr w:type="gramStart"/>
      <w:r w:rsidRPr="007D0DA6">
        <w:rPr>
          <w:rFonts w:ascii="方正仿宋简体" w:eastAsia="方正仿宋简体" w:hAnsi="楷体" w:cs="宋体" w:hint="eastAsia"/>
          <w:color w:val="000000"/>
          <w:kern w:val="0"/>
          <w:szCs w:val="21"/>
        </w:rPr>
        <w:t>作出</w:t>
      </w:r>
      <w:proofErr w:type="gramEnd"/>
      <w:r w:rsidRPr="007D0DA6">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7D0DA6" w:rsidRPr="007D0DA6" w:rsidRDefault="007D0DA6" w:rsidP="007D0DA6">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经查明，段晓军存在如下违法行为：</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黑体简体" w:eastAsia="方正黑体简体" w:hAnsi="楷体" w:cs="宋体" w:hint="eastAsia"/>
          <w:color w:val="000000"/>
          <w:kern w:val="0"/>
          <w:szCs w:val="21"/>
        </w:rPr>
        <w:t>一、内幕信息形成过程及敏感期的认定</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2012年</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8</w:t>
      </w:r>
      <w:r w:rsidRPr="007D0DA6">
        <w:rPr>
          <w:rFonts w:ascii="方正仿宋简体" w:eastAsia="方正仿宋简体" w:hAnsi="楷体" w:cs="宋体" w:hint="eastAsia"/>
          <w:color w:val="000000"/>
          <w:kern w:val="0"/>
          <w:szCs w:val="21"/>
        </w:rPr>
        <w:t>日，大商股份有限公司（以下简称大商股份）所属分、子公司将一季度会计报表及相关附注报送至公司财务本部，开始进行一季度合并报表的编制。</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18</w:t>
      </w:r>
      <w:r w:rsidRPr="007D0DA6">
        <w:rPr>
          <w:rFonts w:ascii="方正仿宋简体" w:eastAsia="方正仿宋简体" w:hAnsi="楷体" w:cs="宋体" w:hint="eastAsia"/>
          <w:color w:val="000000"/>
          <w:kern w:val="0"/>
          <w:szCs w:val="21"/>
        </w:rPr>
        <w:t>日，大商股份财务本部将一季度财务报告通过邮箱报送</w:t>
      </w:r>
      <w:proofErr w:type="gramStart"/>
      <w:r w:rsidRPr="007D0DA6">
        <w:rPr>
          <w:rFonts w:ascii="方正仿宋简体" w:eastAsia="方正仿宋简体" w:hAnsi="楷体" w:cs="宋体" w:hint="eastAsia"/>
          <w:color w:val="000000"/>
          <w:kern w:val="0"/>
          <w:szCs w:val="21"/>
        </w:rPr>
        <w:t>至证券</w:t>
      </w:r>
      <w:proofErr w:type="gramEnd"/>
      <w:r w:rsidRPr="007D0DA6">
        <w:rPr>
          <w:rFonts w:ascii="方正仿宋简体" w:eastAsia="方正仿宋简体" w:hAnsi="楷体" w:cs="宋体" w:hint="eastAsia"/>
          <w:color w:val="000000"/>
          <w:kern w:val="0"/>
          <w:szCs w:val="21"/>
        </w:rPr>
        <w:t>部，同时将邮件发送至大华会计师事务所段晓军进行审核；</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21</w:t>
      </w:r>
      <w:r w:rsidRPr="007D0DA6">
        <w:rPr>
          <w:rFonts w:ascii="方正仿宋简体" w:eastAsia="方正仿宋简体" w:hAnsi="楷体" w:cs="宋体" w:hint="eastAsia"/>
          <w:color w:val="000000"/>
          <w:kern w:val="0"/>
          <w:szCs w:val="21"/>
        </w:rPr>
        <w:t>日，大商股份财务本部将一季度财务报告终稿报送</w:t>
      </w:r>
      <w:proofErr w:type="gramStart"/>
      <w:r w:rsidRPr="007D0DA6">
        <w:rPr>
          <w:rFonts w:ascii="方正仿宋简体" w:eastAsia="方正仿宋简体" w:hAnsi="楷体" w:cs="宋体" w:hint="eastAsia"/>
          <w:color w:val="000000"/>
          <w:kern w:val="0"/>
          <w:szCs w:val="21"/>
        </w:rPr>
        <w:t>至证券</w:t>
      </w:r>
      <w:proofErr w:type="gramEnd"/>
      <w:r w:rsidRPr="007D0DA6">
        <w:rPr>
          <w:rFonts w:ascii="方正仿宋简体" w:eastAsia="方正仿宋简体" w:hAnsi="楷体" w:cs="宋体" w:hint="eastAsia"/>
          <w:color w:val="000000"/>
          <w:kern w:val="0"/>
          <w:szCs w:val="21"/>
        </w:rPr>
        <w:t>部，证券部将数据录入上海证券交易所年报报送系统，并进行系统校验；</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24</w:t>
      </w:r>
      <w:r w:rsidRPr="007D0DA6">
        <w:rPr>
          <w:rFonts w:ascii="方正仿宋简体" w:eastAsia="方正仿宋简体" w:hAnsi="楷体" w:cs="宋体" w:hint="eastAsia"/>
          <w:color w:val="000000"/>
          <w:kern w:val="0"/>
          <w:szCs w:val="21"/>
        </w:rPr>
        <w:t>日，一季度财务报告提交大商股份董事会进行审议；</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25</w:t>
      </w:r>
      <w:r w:rsidRPr="007D0DA6">
        <w:rPr>
          <w:rFonts w:ascii="方正仿宋简体" w:eastAsia="方正仿宋简体" w:hAnsi="楷体" w:cs="宋体" w:hint="eastAsia"/>
          <w:color w:val="000000"/>
          <w:kern w:val="0"/>
          <w:szCs w:val="21"/>
        </w:rPr>
        <w:t>日，大商股份公告一季度财务报告。</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25</w:t>
      </w:r>
      <w:r w:rsidRPr="007D0DA6">
        <w:rPr>
          <w:rFonts w:ascii="方正仿宋简体" w:eastAsia="方正仿宋简体" w:hAnsi="楷体" w:cs="宋体" w:hint="eastAsia"/>
          <w:color w:val="000000"/>
          <w:kern w:val="0"/>
          <w:szCs w:val="21"/>
        </w:rPr>
        <w:t>日、</w:t>
      </w:r>
      <w:r w:rsidRPr="007D0DA6">
        <w:rPr>
          <w:rFonts w:ascii="Times New Roman" w:eastAsia="方正仿宋简体" w:hAnsi="Times New Roman" w:cs="Times New Roman" w:hint="eastAsia"/>
          <w:color w:val="000000"/>
          <w:kern w:val="0"/>
          <w:szCs w:val="21"/>
        </w:rPr>
        <w:t>26</w:t>
      </w:r>
      <w:r w:rsidRPr="007D0DA6">
        <w:rPr>
          <w:rFonts w:ascii="方正仿宋简体" w:eastAsia="方正仿宋简体" w:hAnsi="楷体" w:cs="宋体" w:hint="eastAsia"/>
          <w:color w:val="000000"/>
          <w:kern w:val="0"/>
          <w:szCs w:val="21"/>
        </w:rPr>
        <w:t>日，大商股份股票价格上涨</w:t>
      </w:r>
      <w:r w:rsidRPr="007D0DA6">
        <w:rPr>
          <w:rFonts w:ascii="Times New Roman" w:eastAsia="方正仿宋简体" w:hAnsi="Times New Roman" w:cs="Times New Roman" w:hint="eastAsia"/>
          <w:color w:val="000000"/>
          <w:kern w:val="0"/>
          <w:szCs w:val="21"/>
        </w:rPr>
        <w:t>20.4%</w:t>
      </w:r>
      <w:r w:rsidRPr="007D0DA6">
        <w:rPr>
          <w:rFonts w:ascii="方正仿宋简体" w:eastAsia="方正仿宋简体" w:hAnsi="楷体" w:cs="宋体" w:hint="eastAsia"/>
          <w:color w:val="000000"/>
          <w:kern w:val="0"/>
          <w:szCs w:val="21"/>
        </w:rPr>
        <w:t>，同期上证指数上涨</w:t>
      </w:r>
      <w:r w:rsidRPr="007D0DA6">
        <w:rPr>
          <w:rFonts w:ascii="Times New Roman" w:eastAsia="方正仿宋简体" w:hAnsi="Times New Roman" w:cs="Times New Roman" w:hint="eastAsia"/>
          <w:color w:val="000000"/>
          <w:kern w:val="0"/>
          <w:szCs w:val="21"/>
        </w:rPr>
        <w:t>0.66%</w:t>
      </w:r>
      <w:r w:rsidRPr="007D0DA6">
        <w:rPr>
          <w:rFonts w:ascii="方正仿宋简体" w:eastAsia="方正仿宋简体" w:hAnsi="楷体" w:cs="宋体" w:hint="eastAsia"/>
          <w:color w:val="000000"/>
          <w:kern w:val="0"/>
          <w:szCs w:val="21"/>
        </w:rPr>
        <w:t>。</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大商股份</w:t>
      </w:r>
      <w:r w:rsidRPr="007D0DA6">
        <w:rPr>
          <w:rFonts w:ascii="Times New Roman" w:eastAsia="方正仿宋简体" w:hAnsi="Times New Roman" w:cs="Times New Roman" w:hint="eastAsia"/>
          <w:color w:val="000000"/>
          <w:kern w:val="0"/>
          <w:szCs w:val="21"/>
        </w:rPr>
        <w:t>2012</w:t>
      </w:r>
      <w:r w:rsidRPr="007D0DA6">
        <w:rPr>
          <w:rFonts w:ascii="方正仿宋简体" w:eastAsia="方正仿宋简体" w:hAnsi="楷体" w:cs="宋体" w:hint="eastAsia"/>
          <w:color w:val="000000"/>
          <w:kern w:val="0"/>
          <w:szCs w:val="21"/>
        </w:rPr>
        <w:t>年一季度财务报告中，“归属于上市公司股东的净利润”、“基本每股收益”等指标比</w:t>
      </w:r>
      <w:r w:rsidRPr="007D0DA6">
        <w:rPr>
          <w:rFonts w:ascii="Times New Roman" w:eastAsia="方正仿宋简体" w:hAnsi="Times New Roman" w:cs="Times New Roman" w:hint="eastAsia"/>
          <w:color w:val="000000"/>
          <w:kern w:val="0"/>
          <w:szCs w:val="21"/>
        </w:rPr>
        <w:t>2011</w:t>
      </w:r>
      <w:r w:rsidRPr="007D0DA6">
        <w:rPr>
          <w:rFonts w:ascii="方正仿宋简体" w:eastAsia="方正仿宋简体" w:hAnsi="楷体" w:cs="宋体" w:hint="eastAsia"/>
          <w:color w:val="000000"/>
          <w:kern w:val="0"/>
          <w:szCs w:val="21"/>
        </w:rPr>
        <w:t>年四季度大幅增长。大商股份</w:t>
      </w:r>
      <w:r w:rsidRPr="007D0DA6">
        <w:rPr>
          <w:rFonts w:ascii="Times New Roman" w:eastAsia="方正仿宋简体" w:hAnsi="Times New Roman" w:cs="Times New Roman" w:hint="eastAsia"/>
          <w:color w:val="000000"/>
          <w:kern w:val="0"/>
          <w:szCs w:val="21"/>
        </w:rPr>
        <w:t>2012</w:t>
      </w:r>
      <w:r w:rsidRPr="007D0DA6">
        <w:rPr>
          <w:rFonts w:ascii="方正仿宋简体" w:eastAsia="方正仿宋简体" w:hAnsi="楷体" w:cs="宋体" w:hint="eastAsia"/>
          <w:color w:val="000000"/>
          <w:kern w:val="0"/>
          <w:szCs w:val="21"/>
        </w:rPr>
        <w:t>年一季度财务报告在未公开前属于《证券法》第七十五条规定的内幕信息，内幕信息敏感期为</w:t>
      </w:r>
      <w:r w:rsidRPr="007D0DA6">
        <w:rPr>
          <w:rFonts w:ascii="Times New Roman" w:eastAsia="方正仿宋简体" w:hAnsi="Times New Roman" w:cs="Times New Roman" w:hint="eastAsia"/>
          <w:color w:val="000000"/>
          <w:kern w:val="0"/>
          <w:szCs w:val="21"/>
        </w:rPr>
        <w:t>2012</w:t>
      </w:r>
      <w:r w:rsidRPr="007D0DA6">
        <w:rPr>
          <w:rFonts w:ascii="方正仿宋简体" w:eastAsia="方正仿宋简体" w:hAnsi="楷体" w:cs="宋体" w:hint="eastAsia"/>
          <w:color w:val="000000"/>
          <w:kern w:val="0"/>
          <w:szCs w:val="21"/>
        </w:rPr>
        <w:t>年</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8</w:t>
      </w:r>
      <w:r w:rsidRPr="007D0DA6">
        <w:rPr>
          <w:rFonts w:ascii="方正仿宋简体" w:eastAsia="方正仿宋简体" w:hAnsi="楷体" w:cs="宋体" w:hint="eastAsia"/>
          <w:color w:val="000000"/>
          <w:kern w:val="0"/>
          <w:szCs w:val="21"/>
        </w:rPr>
        <w:t>日至</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24</w:t>
      </w:r>
      <w:r w:rsidRPr="007D0DA6">
        <w:rPr>
          <w:rFonts w:ascii="方正仿宋简体" w:eastAsia="方正仿宋简体" w:hAnsi="楷体" w:cs="宋体" w:hint="eastAsia"/>
          <w:color w:val="000000"/>
          <w:kern w:val="0"/>
          <w:szCs w:val="21"/>
        </w:rPr>
        <w:t>日。</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黑体简体" w:eastAsia="方正黑体简体" w:hAnsi="楷体" w:cs="宋体" w:hint="eastAsia"/>
          <w:color w:val="000000"/>
          <w:kern w:val="0"/>
          <w:szCs w:val="21"/>
        </w:rPr>
        <w:t>二、段晓军知悉内幕信息及交易股票情况</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大商股份财务人员于</w:t>
      </w:r>
      <w:r w:rsidRPr="007D0DA6">
        <w:rPr>
          <w:rFonts w:ascii="Times New Roman" w:eastAsia="方正仿宋简体" w:hAnsi="Times New Roman" w:cs="Times New Roman" w:hint="eastAsia"/>
          <w:color w:val="000000"/>
          <w:kern w:val="0"/>
          <w:szCs w:val="21"/>
        </w:rPr>
        <w:t>2012</w:t>
      </w:r>
      <w:r w:rsidRPr="007D0DA6">
        <w:rPr>
          <w:rFonts w:ascii="方正仿宋简体" w:eastAsia="方正仿宋简体" w:hAnsi="楷体" w:cs="宋体" w:hint="eastAsia"/>
          <w:color w:val="000000"/>
          <w:kern w:val="0"/>
          <w:szCs w:val="21"/>
        </w:rPr>
        <w:t>年</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18</w:t>
      </w:r>
      <w:r w:rsidRPr="007D0DA6">
        <w:rPr>
          <w:rFonts w:ascii="方正仿宋简体" w:eastAsia="方正仿宋简体" w:hAnsi="楷体" w:cs="宋体" w:hint="eastAsia"/>
          <w:color w:val="000000"/>
          <w:kern w:val="0"/>
          <w:szCs w:val="21"/>
        </w:rPr>
        <w:t>日将第一季度财务报告发给段晓军审核，</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21</w:t>
      </w:r>
      <w:r w:rsidRPr="007D0DA6">
        <w:rPr>
          <w:rFonts w:ascii="方正仿宋简体" w:eastAsia="方正仿宋简体" w:hAnsi="楷体" w:cs="宋体" w:hint="eastAsia"/>
          <w:color w:val="000000"/>
          <w:kern w:val="0"/>
          <w:szCs w:val="21"/>
        </w:rPr>
        <w:t>日，大商股份财务本部将一季度财务报告终稿报送至公司证券部。因此，段晓军属于内幕信息知情人，知悉时间不晚于</w:t>
      </w:r>
      <w:r w:rsidRPr="007D0DA6">
        <w:rPr>
          <w:rFonts w:ascii="Times New Roman" w:eastAsia="方正仿宋简体" w:hAnsi="Times New Roman" w:cs="Times New Roman" w:hint="eastAsia"/>
          <w:color w:val="000000"/>
          <w:kern w:val="0"/>
          <w:szCs w:val="21"/>
        </w:rPr>
        <w:t>2012</w:t>
      </w:r>
      <w:r w:rsidRPr="007D0DA6">
        <w:rPr>
          <w:rFonts w:ascii="方正仿宋简体" w:eastAsia="方正仿宋简体" w:hAnsi="楷体" w:cs="宋体" w:hint="eastAsia"/>
          <w:color w:val="000000"/>
          <w:kern w:val="0"/>
          <w:szCs w:val="21"/>
        </w:rPr>
        <w:t>年</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21</w:t>
      </w:r>
      <w:r w:rsidRPr="007D0DA6">
        <w:rPr>
          <w:rFonts w:ascii="方正仿宋简体" w:eastAsia="方正仿宋简体" w:hAnsi="楷体" w:cs="宋体" w:hint="eastAsia"/>
          <w:color w:val="000000"/>
          <w:kern w:val="0"/>
          <w:szCs w:val="21"/>
        </w:rPr>
        <w:t>日。</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2012年</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23</w:t>
      </w:r>
      <w:r w:rsidRPr="007D0DA6">
        <w:rPr>
          <w:rFonts w:ascii="方正仿宋简体" w:eastAsia="方正仿宋简体" w:hAnsi="楷体" w:cs="宋体" w:hint="eastAsia"/>
          <w:color w:val="000000"/>
          <w:kern w:val="0"/>
          <w:szCs w:val="21"/>
        </w:rPr>
        <w:t>日至</w:t>
      </w:r>
      <w:r w:rsidRPr="007D0DA6">
        <w:rPr>
          <w:rFonts w:ascii="Times New Roman" w:eastAsia="方正仿宋简体" w:hAnsi="Times New Roman" w:cs="Times New Roman" w:hint="eastAsia"/>
          <w:color w:val="000000"/>
          <w:kern w:val="0"/>
          <w:szCs w:val="21"/>
        </w:rPr>
        <w:t>24</w:t>
      </w:r>
      <w:r w:rsidRPr="007D0DA6">
        <w:rPr>
          <w:rFonts w:ascii="方正仿宋简体" w:eastAsia="方正仿宋简体" w:hAnsi="楷体" w:cs="宋体" w:hint="eastAsia"/>
          <w:color w:val="000000"/>
          <w:kern w:val="0"/>
          <w:szCs w:val="21"/>
        </w:rPr>
        <w:t>日，“段晓军”证券账户买入大商股份股票</w:t>
      </w:r>
      <w:r w:rsidRPr="007D0DA6">
        <w:rPr>
          <w:rFonts w:ascii="Times New Roman" w:eastAsia="方正仿宋简体" w:hAnsi="Times New Roman" w:cs="Times New Roman" w:hint="eastAsia"/>
          <w:color w:val="000000"/>
          <w:kern w:val="0"/>
          <w:szCs w:val="21"/>
        </w:rPr>
        <w:t>9,800</w:t>
      </w:r>
      <w:r w:rsidRPr="007D0DA6">
        <w:rPr>
          <w:rFonts w:ascii="方正仿宋简体" w:eastAsia="方正仿宋简体" w:hAnsi="楷体" w:cs="宋体" w:hint="eastAsia"/>
          <w:color w:val="000000"/>
          <w:kern w:val="0"/>
          <w:szCs w:val="21"/>
        </w:rPr>
        <w:t>股，交易金额</w:t>
      </w:r>
      <w:r w:rsidRPr="007D0DA6">
        <w:rPr>
          <w:rFonts w:ascii="Times New Roman" w:eastAsia="方正仿宋简体" w:hAnsi="Times New Roman" w:cs="Times New Roman" w:hint="eastAsia"/>
          <w:color w:val="000000"/>
          <w:kern w:val="0"/>
          <w:szCs w:val="21"/>
        </w:rPr>
        <w:t>309,767.22</w:t>
      </w:r>
      <w:r w:rsidRPr="007D0DA6">
        <w:rPr>
          <w:rFonts w:ascii="方正仿宋简体" w:eastAsia="方正仿宋简体" w:hAnsi="楷体" w:cs="宋体" w:hint="eastAsia"/>
          <w:color w:val="000000"/>
          <w:kern w:val="0"/>
          <w:szCs w:val="21"/>
        </w:rPr>
        <w:t>元；</w:t>
      </w:r>
      <w:r w:rsidRPr="007D0DA6">
        <w:rPr>
          <w:rFonts w:ascii="Times New Roman" w:eastAsia="方正仿宋简体" w:hAnsi="Times New Roman" w:cs="Times New Roman" w:hint="eastAsia"/>
          <w:color w:val="000000"/>
          <w:kern w:val="0"/>
          <w:szCs w:val="21"/>
        </w:rPr>
        <w:t>4</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26</w:t>
      </w:r>
      <w:r w:rsidRPr="007D0DA6">
        <w:rPr>
          <w:rFonts w:ascii="方正仿宋简体" w:eastAsia="方正仿宋简体" w:hAnsi="楷体" w:cs="宋体" w:hint="eastAsia"/>
          <w:color w:val="000000"/>
          <w:kern w:val="0"/>
          <w:szCs w:val="21"/>
        </w:rPr>
        <w:t>日，卖出</w:t>
      </w:r>
      <w:r w:rsidRPr="007D0DA6">
        <w:rPr>
          <w:rFonts w:ascii="Times New Roman" w:eastAsia="方正仿宋简体" w:hAnsi="Times New Roman" w:cs="Times New Roman" w:hint="eastAsia"/>
          <w:color w:val="000000"/>
          <w:kern w:val="0"/>
          <w:szCs w:val="21"/>
        </w:rPr>
        <w:t>9,800</w:t>
      </w:r>
      <w:r w:rsidRPr="007D0DA6">
        <w:rPr>
          <w:rFonts w:ascii="方正仿宋简体" w:eastAsia="方正仿宋简体" w:hAnsi="楷体" w:cs="宋体" w:hint="eastAsia"/>
          <w:color w:val="000000"/>
          <w:kern w:val="0"/>
          <w:szCs w:val="21"/>
        </w:rPr>
        <w:t>股，交易金额</w:t>
      </w:r>
      <w:r w:rsidRPr="007D0DA6">
        <w:rPr>
          <w:rFonts w:ascii="Times New Roman" w:eastAsia="方正仿宋简体" w:hAnsi="Times New Roman" w:cs="Times New Roman" w:hint="eastAsia"/>
          <w:color w:val="000000"/>
          <w:kern w:val="0"/>
          <w:szCs w:val="21"/>
        </w:rPr>
        <w:t>378,471.03</w:t>
      </w:r>
      <w:r w:rsidRPr="007D0DA6">
        <w:rPr>
          <w:rFonts w:ascii="方正仿宋简体" w:eastAsia="方正仿宋简体" w:hAnsi="楷体" w:cs="宋体" w:hint="eastAsia"/>
          <w:color w:val="000000"/>
          <w:kern w:val="0"/>
          <w:szCs w:val="21"/>
        </w:rPr>
        <w:t>元，实际获利68,973.81元。</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lastRenderedPageBreak/>
        <w:t>上述违法事实，有交易流水、询问笔录、情况说明等证据证明，足以认定。</w:t>
      </w:r>
    </w:p>
    <w:p w:rsidR="007D0DA6" w:rsidRPr="007D0DA6" w:rsidRDefault="007D0DA6" w:rsidP="007D0DA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段晓军知悉内幕信息，并使用本人账户在内幕信息敏感期内交易大商股份股票的行为违反《证券法》第七十六条关于“禁止内幕交易”的规定，构成内幕交易行为。</w:t>
      </w:r>
    </w:p>
    <w:p w:rsidR="007D0DA6" w:rsidRPr="007D0DA6" w:rsidRDefault="007D0DA6" w:rsidP="007D0DA6">
      <w:pPr>
        <w:widowControl/>
        <w:shd w:val="clear" w:color="auto" w:fill="FFFFFF"/>
        <w:spacing w:line="360" w:lineRule="atLeast"/>
        <w:ind w:firstLine="420"/>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根据当事人违法行为的事实、性质、情节与社会危害程度，依据《证券法》第二百零二条的规定，我会决定：没收段晓</w:t>
      </w:r>
      <w:proofErr w:type="gramStart"/>
      <w:r w:rsidRPr="007D0DA6">
        <w:rPr>
          <w:rFonts w:ascii="方正仿宋简体" w:eastAsia="方正仿宋简体" w:hAnsi="楷体" w:cs="宋体" w:hint="eastAsia"/>
          <w:color w:val="000000"/>
          <w:kern w:val="0"/>
          <w:szCs w:val="21"/>
        </w:rPr>
        <w:t>军违法</w:t>
      </w:r>
      <w:proofErr w:type="gramEnd"/>
      <w:r w:rsidRPr="007D0DA6">
        <w:rPr>
          <w:rFonts w:ascii="方正仿宋简体" w:eastAsia="方正仿宋简体" w:hAnsi="楷体" w:cs="宋体" w:hint="eastAsia"/>
          <w:color w:val="000000"/>
          <w:kern w:val="0"/>
          <w:szCs w:val="21"/>
        </w:rPr>
        <w:t>所得</w:t>
      </w:r>
      <w:r w:rsidRPr="007D0DA6">
        <w:rPr>
          <w:rFonts w:ascii="Times New Roman" w:eastAsia="方正仿宋简体" w:hAnsi="Times New Roman" w:cs="Times New Roman" w:hint="eastAsia"/>
          <w:color w:val="000000"/>
          <w:kern w:val="0"/>
          <w:szCs w:val="21"/>
        </w:rPr>
        <w:t>68,973.81</w:t>
      </w:r>
      <w:r w:rsidRPr="007D0DA6">
        <w:rPr>
          <w:rFonts w:ascii="方正仿宋简体" w:eastAsia="方正仿宋简体" w:hAnsi="楷体" w:cs="宋体" w:hint="eastAsia"/>
          <w:color w:val="000000"/>
          <w:kern w:val="0"/>
          <w:szCs w:val="21"/>
        </w:rPr>
        <w:t>元，并处以</w:t>
      </w:r>
      <w:r w:rsidRPr="007D0DA6">
        <w:rPr>
          <w:rFonts w:ascii="Times New Roman" w:eastAsia="方正仿宋简体" w:hAnsi="Times New Roman" w:cs="Times New Roman" w:hint="eastAsia"/>
          <w:color w:val="000000"/>
          <w:kern w:val="0"/>
          <w:szCs w:val="21"/>
        </w:rPr>
        <w:t>68,973.81</w:t>
      </w:r>
      <w:r w:rsidRPr="007D0DA6">
        <w:rPr>
          <w:rFonts w:ascii="方正仿宋简体" w:eastAsia="方正仿宋简体" w:hAnsi="楷体" w:cs="宋体" w:hint="eastAsia"/>
          <w:color w:val="000000"/>
          <w:kern w:val="0"/>
          <w:szCs w:val="21"/>
        </w:rPr>
        <w:t>元罚款。</w:t>
      </w:r>
    </w:p>
    <w:p w:rsidR="007D0DA6" w:rsidRPr="007D0DA6" w:rsidRDefault="007D0DA6" w:rsidP="007D0DA6">
      <w:pPr>
        <w:widowControl/>
        <w:shd w:val="clear" w:color="auto" w:fill="FFFFFF"/>
        <w:spacing w:line="360" w:lineRule="atLeast"/>
        <w:ind w:firstLine="570"/>
        <w:jc w:val="lef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当事人应自收到本处罚决定书之日起</w:t>
      </w:r>
      <w:r w:rsidRPr="007D0DA6">
        <w:rPr>
          <w:rFonts w:ascii="Times New Roman" w:eastAsia="方正仿宋简体" w:hAnsi="Times New Roman" w:cs="Times New Roman" w:hint="eastAsia"/>
          <w:color w:val="000000"/>
          <w:kern w:val="0"/>
          <w:szCs w:val="21"/>
        </w:rPr>
        <w:t>15</w:t>
      </w:r>
      <w:r w:rsidRPr="007D0DA6">
        <w:rPr>
          <w:rFonts w:ascii="方正仿宋简体" w:eastAsia="方正仿宋简体" w:hAnsi="楷体" w:cs="宋体" w:hint="eastAsia"/>
          <w:color w:val="000000"/>
          <w:kern w:val="0"/>
          <w:szCs w:val="21"/>
        </w:rPr>
        <w:t>日内，将罚没款汇交中国证券监督管理委员会（开户银行：中信银行总行营业部，账号：</w:t>
      </w:r>
      <w:r w:rsidRPr="007D0DA6">
        <w:rPr>
          <w:rFonts w:ascii="Times New Roman" w:eastAsia="方正仿宋简体" w:hAnsi="Times New Roman" w:cs="Times New Roman" w:hint="eastAsia"/>
          <w:color w:val="000000"/>
          <w:kern w:val="0"/>
          <w:szCs w:val="21"/>
        </w:rPr>
        <w:t>7111010189800000162</w:t>
      </w:r>
      <w:r w:rsidRPr="007D0DA6">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7D0DA6">
        <w:rPr>
          <w:rFonts w:ascii="Times New Roman" w:eastAsia="方正仿宋简体" w:hAnsi="Times New Roman" w:cs="Times New Roman" w:hint="eastAsia"/>
          <w:color w:val="000000"/>
          <w:kern w:val="0"/>
          <w:szCs w:val="21"/>
        </w:rPr>
        <w:t>60</w:t>
      </w:r>
      <w:r w:rsidRPr="007D0DA6">
        <w:rPr>
          <w:rFonts w:ascii="方正仿宋简体" w:eastAsia="方正仿宋简体" w:hAnsi="楷体" w:cs="宋体" w:hint="eastAsia"/>
          <w:color w:val="000000"/>
          <w:kern w:val="0"/>
          <w:szCs w:val="21"/>
        </w:rPr>
        <w:t>日内向中国证券监督管理委员会申请行政复议，也可在收到本处罚决定书之日起</w:t>
      </w:r>
      <w:r w:rsidRPr="007D0DA6">
        <w:rPr>
          <w:rFonts w:ascii="Times New Roman" w:eastAsia="方正仿宋简体" w:hAnsi="Times New Roman" w:cs="Times New Roman" w:hint="eastAsia"/>
          <w:color w:val="000000"/>
          <w:kern w:val="0"/>
          <w:szCs w:val="21"/>
        </w:rPr>
        <w:t>3</w:t>
      </w:r>
      <w:r w:rsidRPr="007D0DA6">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7D0DA6" w:rsidRPr="007D0DA6" w:rsidRDefault="007D0DA6" w:rsidP="007D0DA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0DA6">
        <w:rPr>
          <w:rFonts w:ascii="Calibri" w:eastAsia="楷体" w:hAnsi="Calibri" w:cs="Calibri"/>
          <w:color w:val="000000"/>
          <w:kern w:val="0"/>
          <w:sz w:val="24"/>
          <w:szCs w:val="24"/>
        </w:rPr>
        <w:t> </w:t>
      </w:r>
    </w:p>
    <w:p w:rsidR="007D0DA6" w:rsidRPr="007D0DA6" w:rsidRDefault="007D0DA6" w:rsidP="007D0DA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0DA6">
        <w:rPr>
          <w:rFonts w:ascii="Calibri" w:eastAsia="楷体" w:hAnsi="Calibri" w:cs="Calibri"/>
          <w:color w:val="000000"/>
          <w:kern w:val="0"/>
          <w:sz w:val="24"/>
          <w:szCs w:val="24"/>
        </w:rPr>
        <w:t> </w:t>
      </w:r>
    </w:p>
    <w:p w:rsidR="007D0DA6" w:rsidRPr="007D0DA6" w:rsidRDefault="007D0DA6" w:rsidP="007D0DA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0DA6">
        <w:rPr>
          <w:rFonts w:ascii="Calibri" w:eastAsia="楷体" w:hAnsi="Calibri" w:cs="Calibri"/>
          <w:color w:val="000000"/>
          <w:kern w:val="0"/>
          <w:sz w:val="24"/>
          <w:szCs w:val="24"/>
        </w:rPr>
        <w:t> </w:t>
      </w:r>
    </w:p>
    <w:p w:rsidR="007D0DA6" w:rsidRPr="007D0DA6" w:rsidRDefault="007D0DA6" w:rsidP="007D0DA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 xml:space="preserve">中国证监会　</w:t>
      </w:r>
    </w:p>
    <w:p w:rsidR="007D0DA6" w:rsidRPr="007D0DA6" w:rsidRDefault="007D0DA6" w:rsidP="007D0DA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0DA6">
        <w:rPr>
          <w:rFonts w:ascii="方正仿宋简体" w:eastAsia="方正仿宋简体" w:hAnsi="楷体" w:cs="宋体" w:hint="eastAsia"/>
          <w:color w:val="000000"/>
          <w:kern w:val="0"/>
          <w:szCs w:val="21"/>
        </w:rPr>
        <w:t>2014年</w:t>
      </w:r>
      <w:r w:rsidRPr="007D0DA6">
        <w:rPr>
          <w:rFonts w:ascii="Times New Roman" w:eastAsia="方正仿宋简体" w:hAnsi="Times New Roman" w:cs="Times New Roman" w:hint="eastAsia"/>
          <w:color w:val="000000"/>
          <w:kern w:val="0"/>
          <w:szCs w:val="21"/>
        </w:rPr>
        <w:t>1</w:t>
      </w:r>
      <w:r w:rsidRPr="007D0DA6">
        <w:rPr>
          <w:rFonts w:ascii="方正仿宋简体" w:eastAsia="方正仿宋简体" w:hAnsi="楷体" w:cs="宋体" w:hint="eastAsia"/>
          <w:color w:val="000000"/>
          <w:kern w:val="0"/>
          <w:szCs w:val="21"/>
        </w:rPr>
        <w:t>月</w:t>
      </w:r>
      <w:r w:rsidRPr="007D0DA6">
        <w:rPr>
          <w:rFonts w:ascii="Times New Roman" w:eastAsia="方正仿宋简体" w:hAnsi="Times New Roman" w:cs="Times New Roman" w:hint="eastAsia"/>
          <w:color w:val="000000"/>
          <w:kern w:val="0"/>
          <w:szCs w:val="21"/>
        </w:rPr>
        <w:t>9</w:t>
      </w:r>
      <w:r w:rsidRPr="007D0DA6">
        <w:rPr>
          <w:rFonts w:ascii="方正仿宋简体" w:eastAsia="方正仿宋简体" w:hAnsi="楷体" w:cs="宋体" w:hint="eastAsia"/>
          <w:color w:val="000000"/>
          <w:kern w:val="0"/>
          <w:szCs w:val="21"/>
        </w:rPr>
        <w:t>日</w:t>
      </w:r>
      <w:r w:rsidRPr="007D0DA6">
        <w:rPr>
          <w:rFonts w:ascii="Times New Roman" w:eastAsia="楷体" w:hAnsi="Times New Roman" w:cs="Times New Roman"/>
          <w:color w:val="000000"/>
          <w:kern w:val="0"/>
          <w:szCs w:val="21"/>
        </w:rPr>
        <w:t> </w:t>
      </w:r>
    </w:p>
    <w:p w:rsidR="007D0DA6" w:rsidRPr="007D0DA6" w:rsidRDefault="007D0DA6" w:rsidP="007D0DA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D0DA6" w:rsidRPr="007D0DA6" w:rsidTr="007D0DA6">
        <w:trPr>
          <w:tblCellSpacing w:w="15" w:type="dxa"/>
          <w:jc w:val="center"/>
        </w:trPr>
        <w:tc>
          <w:tcPr>
            <w:tcW w:w="900" w:type="dxa"/>
            <w:vAlign w:val="center"/>
            <w:hideMark/>
          </w:tcPr>
          <w:p w:rsidR="007D0DA6" w:rsidRPr="007D0DA6" w:rsidRDefault="007D0DA6" w:rsidP="007D0DA6">
            <w:pPr>
              <w:widowControl/>
              <w:jc w:val="left"/>
              <w:rPr>
                <w:rFonts w:ascii="宋体" w:eastAsia="宋体" w:hAnsi="宋体" w:cs="宋体" w:hint="eastAsia"/>
                <w:kern w:val="0"/>
                <w:sz w:val="18"/>
                <w:szCs w:val="18"/>
              </w:rPr>
            </w:pPr>
            <w:r w:rsidRPr="007D0DA6">
              <w:rPr>
                <w:rFonts w:ascii="宋体" w:eastAsia="宋体" w:hAnsi="宋体" w:cs="宋体"/>
                <w:kern w:val="0"/>
                <w:sz w:val="18"/>
                <w:szCs w:val="18"/>
              </w:rPr>
              <w:t> </w:t>
            </w:r>
          </w:p>
        </w:tc>
        <w:tc>
          <w:tcPr>
            <w:tcW w:w="1200" w:type="dxa"/>
            <w:vAlign w:val="center"/>
            <w:hideMark/>
          </w:tcPr>
          <w:p w:rsidR="007D0DA6" w:rsidRPr="007D0DA6" w:rsidRDefault="007D0DA6" w:rsidP="007D0DA6">
            <w:pPr>
              <w:widowControl/>
              <w:jc w:val="left"/>
              <w:rPr>
                <w:rFonts w:ascii="宋体" w:eastAsia="宋体" w:hAnsi="宋体" w:cs="宋体"/>
                <w:kern w:val="0"/>
                <w:sz w:val="18"/>
                <w:szCs w:val="18"/>
              </w:rPr>
            </w:pPr>
            <w:r w:rsidRPr="007D0DA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0DA6" w:rsidRPr="007D0DA6" w:rsidRDefault="007D0DA6" w:rsidP="007D0DA6">
            <w:pPr>
              <w:widowControl/>
              <w:jc w:val="left"/>
              <w:rPr>
                <w:rFonts w:ascii="宋体" w:eastAsia="宋体" w:hAnsi="宋体" w:cs="宋体"/>
                <w:kern w:val="0"/>
                <w:sz w:val="18"/>
                <w:szCs w:val="18"/>
              </w:rPr>
            </w:pPr>
            <w:r w:rsidRPr="007D0DA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0DA6" w:rsidRPr="007D0DA6" w:rsidRDefault="007D0DA6" w:rsidP="007D0DA6">
            <w:pPr>
              <w:widowControl/>
              <w:jc w:val="left"/>
              <w:rPr>
                <w:rFonts w:ascii="宋体" w:eastAsia="宋体" w:hAnsi="宋体" w:cs="宋体"/>
                <w:kern w:val="0"/>
                <w:sz w:val="18"/>
                <w:szCs w:val="18"/>
              </w:rPr>
            </w:pPr>
            <w:r w:rsidRPr="007D0DA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D0DA6" w:rsidRPr="007D0DA6" w:rsidRDefault="007D0DA6" w:rsidP="007D0DA6">
      <w:pPr>
        <w:widowControl/>
        <w:jc w:val="center"/>
        <w:rPr>
          <w:rFonts w:ascii="微软雅黑" w:eastAsia="微软雅黑" w:hAnsi="微软雅黑" w:cs="宋体"/>
          <w:color w:val="515151"/>
          <w:kern w:val="0"/>
          <w:sz w:val="18"/>
          <w:szCs w:val="18"/>
        </w:rPr>
      </w:pPr>
      <w:hyperlink r:id="rId11" w:tgtFrame="_blank" w:history="1">
        <w:r w:rsidRPr="007D0DA6">
          <w:rPr>
            <w:rFonts w:ascii="微软雅黑" w:eastAsia="微软雅黑" w:hAnsi="微软雅黑" w:cs="宋体" w:hint="eastAsia"/>
            <w:color w:val="0000FF"/>
            <w:kern w:val="0"/>
            <w:sz w:val="18"/>
            <w:szCs w:val="18"/>
            <w:u w:val="single"/>
          </w:rPr>
          <w:t>关于我们</w:t>
        </w:r>
      </w:hyperlink>
      <w:r w:rsidRPr="007D0DA6">
        <w:rPr>
          <w:rFonts w:ascii="微软雅黑" w:eastAsia="微软雅黑" w:hAnsi="微软雅黑" w:cs="宋体" w:hint="eastAsia"/>
          <w:color w:val="515151"/>
          <w:kern w:val="0"/>
          <w:sz w:val="18"/>
          <w:szCs w:val="18"/>
        </w:rPr>
        <w:t> - </w:t>
      </w:r>
      <w:hyperlink r:id="rId12" w:tgtFrame="_blank" w:history="1">
        <w:r w:rsidRPr="007D0DA6">
          <w:rPr>
            <w:rFonts w:ascii="微软雅黑" w:eastAsia="微软雅黑" w:hAnsi="微软雅黑" w:cs="宋体" w:hint="eastAsia"/>
            <w:color w:val="0000FF"/>
            <w:kern w:val="0"/>
            <w:sz w:val="18"/>
            <w:szCs w:val="18"/>
            <w:u w:val="single"/>
          </w:rPr>
          <w:t>法律声明</w:t>
        </w:r>
      </w:hyperlink>
      <w:r w:rsidRPr="007D0DA6">
        <w:rPr>
          <w:rFonts w:ascii="微软雅黑" w:eastAsia="微软雅黑" w:hAnsi="微软雅黑" w:cs="宋体" w:hint="eastAsia"/>
          <w:color w:val="515151"/>
          <w:kern w:val="0"/>
          <w:sz w:val="18"/>
          <w:szCs w:val="18"/>
        </w:rPr>
        <w:t> - </w:t>
      </w:r>
      <w:hyperlink r:id="rId13" w:tgtFrame="_blank" w:history="1">
        <w:r w:rsidRPr="007D0DA6">
          <w:rPr>
            <w:rFonts w:ascii="微软雅黑" w:eastAsia="微软雅黑" w:hAnsi="微软雅黑" w:cs="宋体" w:hint="eastAsia"/>
            <w:color w:val="0000FF"/>
            <w:kern w:val="0"/>
            <w:sz w:val="18"/>
            <w:szCs w:val="18"/>
            <w:u w:val="single"/>
          </w:rPr>
          <w:t>联系我们</w:t>
        </w:r>
      </w:hyperlink>
    </w:p>
    <w:p w:rsidR="007D0DA6" w:rsidRPr="007D0DA6" w:rsidRDefault="007D0DA6" w:rsidP="007D0DA6">
      <w:pPr>
        <w:widowControl/>
        <w:jc w:val="center"/>
        <w:rPr>
          <w:rFonts w:ascii="微软雅黑" w:eastAsia="微软雅黑" w:hAnsi="微软雅黑" w:cs="宋体" w:hint="eastAsia"/>
          <w:color w:val="515151"/>
          <w:kern w:val="0"/>
          <w:sz w:val="18"/>
          <w:szCs w:val="18"/>
        </w:rPr>
      </w:pPr>
      <w:r w:rsidRPr="007D0DA6">
        <w:rPr>
          <w:rFonts w:ascii="微软雅黑" w:eastAsia="微软雅黑" w:hAnsi="微软雅黑" w:cs="宋体" w:hint="eastAsia"/>
          <w:color w:val="515151"/>
          <w:kern w:val="0"/>
          <w:sz w:val="18"/>
          <w:szCs w:val="18"/>
        </w:rPr>
        <w:t>版权所有：中国证券监督管理委员会 京ICP备 05035542号</w:t>
      </w:r>
    </w:p>
    <w:p w:rsidR="007D0DA6" w:rsidRPr="007D0DA6" w:rsidRDefault="007D0DA6" w:rsidP="007D0DA6">
      <w:pPr>
        <w:widowControl/>
        <w:jc w:val="center"/>
        <w:rPr>
          <w:rFonts w:ascii="微软雅黑" w:eastAsia="微软雅黑" w:hAnsi="微软雅黑" w:cs="宋体" w:hint="eastAsia"/>
          <w:color w:val="515151"/>
          <w:kern w:val="0"/>
          <w:sz w:val="18"/>
          <w:szCs w:val="18"/>
        </w:rPr>
      </w:pPr>
      <w:r w:rsidRPr="007D0DA6">
        <w:rPr>
          <w:rFonts w:ascii="微软雅黑" w:eastAsia="微软雅黑" w:hAnsi="微软雅黑" w:cs="宋体" w:hint="eastAsia"/>
          <w:color w:val="515151"/>
          <w:kern w:val="0"/>
          <w:sz w:val="18"/>
          <w:szCs w:val="18"/>
        </w:rPr>
        <w:t>地址：北京市西城区金融大街19号富凯大厦A座 邮编：100033</w:t>
      </w:r>
    </w:p>
    <w:p w:rsidR="007D0DA6" w:rsidRPr="007D0DA6" w:rsidRDefault="007D0DA6" w:rsidP="007D0DA6">
      <w:pPr>
        <w:widowControl/>
        <w:jc w:val="center"/>
        <w:rPr>
          <w:rFonts w:ascii="微软雅黑" w:eastAsia="微软雅黑" w:hAnsi="微软雅黑" w:cs="宋体" w:hint="eastAsia"/>
          <w:color w:val="515151"/>
          <w:kern w:val="0"/>
          <w:sz w:val="18"/>
          <w:szCs w:val="18"/>
        </w:rPr>
      </w:pPr>
      <w:r w:rsidRPr="007D0DA6">
        <w:rPr>
          <w:rFonts w:ascii="微软雅黑" w:eastAsia="微软雅黑" w:hAnsi="微软雅黑" w:cs="宋体" w:hint="eastAsia"/>
          <w:color w:val="515151"/>
          <w:kern w:val="0"/>
          <w:sz w:val="18"/>
          <w:szCs w:val="18"/>
        </w:rPr>
        <w:t>建议使用IE5.5以上浏览器，分辨率1024*768</w:t>
      </w:r>
    </w:p>
    <w:p w:rsidR="005E7404" w:rsidRPr="007D0DA6" w:rsidRDefault="005E7404"/>
    <w:sectPr w:rsidR="005E7404" w:rsidRPr="007D0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A6"/>
    <w:rsid w:val="005E7404"/>
    <w:rsid w:val="007D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1BAA0-E138-4F88-A08D-E3B2DBDF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0DA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0DA6"/>
    <w:rPr>
      <w:b/>
      <w:bCs/>
    </w:rPr>
  </w:style>
  <w:style w:type="paragraph" w:customStyle="1" w:styleId="p0">
    <w:name w:val="p0"/>
    <w:basedOn w:val="a"/>
    <w:rsid w:val="007D0DA6"/>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D0DA6"/>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7D0DA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D0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30551">
      <w:bodyDiv w:val="1"/>
      <w:marLeft w:val="0"/>
      <w:marRight w:val="0"/>
      <w:marTop w:val="0"/>
      <w:marBottom w:val="0"/>
      <w:divBdr>
        <w:top w:val="none" w:sz="0" w:space="0" w:color="auto"/>
        <w:left w:val="none" w:sz="0" w:space="0" w:color="auto"/>
        <w:bottom w:val="none" w:sz="0" w:space="0" w:color="auto"/>
        <w:right w:val="none" w:sz="0" w:space="0" w:color="auto"/>
      </w:divBdr>
      <w:divsChild>
        <w:div w:id="885945712">
          <w:marLeft w:val="0"/>
          <w:marRight w:val="0"/>
          <w:marTop w:val="150"/>
          <w:marBottom w:val="150"/>
          <w:divBdr>
            <w:top w:val="none" w:sz="0" w:space="0" w:color="auto"/>
            <w:left w:val="none" w:sz="0" w:space="0" w:color="auto"/>
            <w:bottom w:val="none" w:sz="0" w:space="0" w:color="auto"/>
            <w:right w:val="none" w:sz="0" w:space="0" w:color="auto"/>
          </w:divBdr>
        </w:div>
        <w:div w:id="1581912348">
          <w:marLeft w:val="0"/>
          <w:marRight w:val="0"/>
          <w:marTop w:val="0"/>
          <w:marBottom w:val="0"/>
          <w:divBdr>
            <w:top w:val="single" w:sz="6" w:space="8" w:color="B5B5B5"/>
            <w:left w:val="single" w:sz="6" w:space="0" w:color="B5B5B5"/>
            <w:bottom w:val="single" w:sz="6" w:space="8" w:color="B5B5B5"/>
            <w:right w:val="single" w:sz="6" w:space="0" w:color="B5B5B5"/>
          </w:divBdr>
          <w:divsChild>
            <w:div w:id="2015955784">
              <w:marLeft w:val="0"/>
              <w:marRight w:val="0"/>
              <w:marTop w:val="0"/>
              <w:marBottom w:val="0"/>
              <w:divBdr>
                <w:top w:val="none" w:sz="0" w:space="0" w:color="auto"/>
                <w:left w:val="none" w:sz="0" w:space="0" w:color="auto"/>
                <w:bottom w:val="none" w:sz="0" w:space="0" w:color="auto"/>
                <w:right w:val="none" w:sz="0" w:space="0" w:color="auto"/>
              </w:divBdr>
            </w:div>
            <w:div w:id="1298143210">
              <w:marLeft w:val="0"/>
              <w:marRight w:val="0"/>
              <w:marTop w:val="0"/>
              <w:marBottom w:val="0"/>
              <w:divBdr>
                <w:top w:val="none" w:sz="0" w:space="0" w:color="auto"/>
                <w:left w:val="none" w:sz="0" w:space="0" w:color="auto"/>
                <w:bottom w:val="none" w:sz="0" w:space="0" w:color="auto"/>
                <w:right w:val="none" w:sz="0" w:space="0" w:color="auto"/>
              </w:divBdr>
            </w:div>
            <w:div w:id="1166435371">
              <w:marLeft w:val="0"/>
              <w:marRight w:val="0"/>
              <w:marTop w:val="120"/>
              <w:marBottom w:val="120"/>
              <w:divBdr>
                <w:top w:val="none" w:sz="0" w:space="0" w:color="auto"/>
                <w:left w:val="none" w:sz="0" w:space="0" w:color="auto"/>
                <w:bottom w:val="none" w:sz="0" w:space="0" w:color="auto"/>
                <w:right w:val="none" w:sz="0" w:space="0" w:color="auto"/>
              </w:divBdr>
            </w:div>
          </w:divsChild>
        </w:div>
        <w:div w:id="1484783838">
          <w:marLeft w:val="0"/>
          <w:marRight w:val="0"/>
          <w:marTop w:val="120"/>
          <w:marBottom w:val="0"/>
          <w:divBdr>
            <w:top w:val="none" w:sz="0" w:space="0" w:color="auto"/>
            <w:left w:val="none" w:sz="0" w:space="0" w:color="auto"/>
            <w:bottom w:val="none" w:sz="0" w:space="0" w:color="auto"/>
            <w:right w:val="none" w:sz="0" w:space="0" w:color="auto"/>
          </w:divBdr>
          <w:divsChild>
            <w:div w:id="1743261472">
              <w:marLeft w:val="0"/>
              <w:marRight w:val="0"/>
              <w:marTop w:val="60"/>
              <w:marBottom w:val="0"/>
              <w:divBdr>
                <w:top w:val="none" w:sz="0" w:space="0" w:color="auto"/>
                <w:left w:val="none" w:sz="0" w:space="0" w:color="auto"/>
                <w:bottom w:val="none" w:sz="0" w:space="0" w:color="auto"/>
                <w:right w:val="none" w:sz="0" w:space="0" w:color="auto"/>
              </w:divBdr>
            </w:div>
            <w:div w:id="1559053125">
              <w:marLeft w:val="0"/>
              <w:marRight w:val="0"/>
              <w:marTop w:val="60"/>
              <w:marBottom w:val="0"/>
              <w:divBdr>
                <w:top w:val="none" w:sz="0" w:space="0" w:color="auto"/>
                <w:left w:val="none" w:sz="0" w:space="0" w:color="auto"/>
                <w:bottom w:val="none" w:sz="0" w:space="0" w:color="auto"/>
                <w:right w:val="none" w:sz="0" w:space="0" w:color="auto"/>
              </w:divBdr>
            </w:div>
            <w:div w:id="1345594060">
              <w:marLeft w:val="0"/>
              <w:marRight w:val="0"/>
              <w:marTop w:val="60"/>
              <w:marBottom w:val="0"/>
              <w:divBdr>
                <w:top w:val="none" w:sz="0" w:space="0" w:color="auto"/>
                <w:left w:val="none" w:sz="0" w:space="0" w:color="auto"/>
                <w:bottom w:val="none" w:sz="0" w:space="0" w:color="auto"/>
                <w:right w:val="none" w:sz="0" w:space="0" w:color="auto"/>
              </w:divBdr>
            </w:div>
            <w:div w:id="19549456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4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2020-02-19T14:01:00Z</dcterms:created>
  <dcterms:modified xsi:type="dcterms:W3CDTF">2020-02-19T14:01:00Z</dcterms:modified>
</cp:coreProperties>
</file>