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A42" w:rsidRPr="00626A42" w:rsidRDefault="00626A42" w:rsidP="00626A42">
      <w:pPr>
        <w:widowControl/>
        <w:jc w:val="center"/>
        <w:rPr>
          <w:rFonts w:ascii="微软雅黑" w:eastAsia="微软雅黑" w:hAnsi="微软雅黑" w:cs="宋体"/>
          <w:color w:val="000000"/>
          <w:kern w:val="0"/>
          <w:sz w:val="18"/>
          <w:szCs w:val="18"/>
        </w:rPr>
      </w:pPr>
      <w:r w:rsidRPr="00626A42">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626A42" w:rsidRPr="00626A42" w:rsidTr="00626A4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26A42" w:rsidRPr="00626A42">
              <w:trPr>
                <w:tblCellSpacing w:w="0" w:type="dxa"/>
              </w:trPr>
              <w:tc>
                <w:tcPr>
                  <w:tcW w:w="2500" w:type="pct"/>
                  <w:tcMar>
                    <w:top w:w="30" w:type="dxa"/>
                    <w:left w:w="30" w:type="dxa"/>
                    <w:bottom w:w="30" w:type="dxa"/>
                    <w:right w:w="30" w:type="dxa"/>
                  </w:tcMar>
                  <w:hideMark/>
                </w:tcPr>
                <w:p w:rsidR="00626A42" w:rsidRPr="00626A42" w:rsidRDefault="00626A42" w:rsidP="00626A42">
                  <w:pPr>
                    <w:widowControl/>
                    <w:jc w:val="left"/>
                    <w:rPr>
                      <w:rFonts w:ascii="宋体" w:eastAsia="宋体" w:hAnsi="宋体" w:cs="宋体" w:hint="eastAsia"/>
                      <w:color w:val="686868"/>
                      <w:kern w:val="0"/>
                      <w:sz w:val="18"/>
                      <w:szCs w:val="18"/>
                    </w:rPr>
                  </w:pPr>
                  <w:r w:rsidRPr="00626A42">
                    <w:rPr>
                      <w:rFonts w:ascii="宋体" w:eastAsia="宋体" w:hAnsi="宋体" w:cs="宋体"/>
                      <w:b/>
                      <w:bCs/>
                      <w:color w:val="686868"/>
                      <w:kern w:val="0"/>
                      <w:sz w:val="18"/>
                      <w:szCs w:val="18"/>
                    </w:rPr>
                    <w:t>索 引 号:</w:t>
                  </w:r>
                  <w:r w:rsidRPr="00626A42">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626A42" w:rsidRPr="00626A42" w:rsidRDefault="00626A42" w:rsidP="00626A42">
                  <w:pPr>
                    <w:widowControl/>
                    <w:jc w:val="left"/>
                    <w:rPr>
                      <w:rFonts w:ascii="宋体" w:eastAsia="宋体" w:hAnsi="宋体" w:cs="宋体"/>
                      <w:color w:val="686868"/>
                      <w:kern w:val="0"/>
                      <w:sz w:val="18"/>
                      <w:szCs w:val="18"/>
                    </w:rPr>
                  </w:pPr>
                  <w:r w:rsidRPr="00626A42">
                    <w:rPr>
                      <w:rFonts w:ascii="宋体" w:eastAsia="宋体" w:hAnsi="宋体" w:cs="宋体"/>
                      <w:b/>
                      <w:bCs/>
                      <w:color w:val="686868"/>
                      <w:kern w:val="0"/>
                      <w:sz w:val="18"/>
                      <w:szCs w:val="18"/>
                    </w:rPr>
                    <w:t>分类:</w:t>
                  </w:r>
                  <w:r w:rsidRPr="00626A42">
                    <w:rPr>
                      <w:rFonts w:ascii="宋体" w:eastAsia="宋体" w:hAnsi="宋体" w:cs="宋体"/>
                      <w:color w:val="686868"/>
                      <w:kern w:val="0"/>
                      <w:sz w:val="18"/>
                      <w:szCs w:val="18"/>
                    </w:rPr>
                    <w:t> 行政处罚 ; 行政处罚决定</w:t>
                  </w:r>
                </w:p>
              </w:tc>
            </w:tr>
          </w:tbl>
          <w:p w:rsidR="00626A42" w:rsidRPr="00626A42" w:rsidRDefault="00626A42" w:rsidP="00626A42">
            <w:pPr>
              <w:widowControl/>
              <w:jc w:val="left"/>
              <w:rPr>
                <w:rFonts w:ascii="宋体" w:eastAsia="宋体" w:hAnsi="宋体" w:cs="宋体"/>
                <w:color w:val="686868"/>
                <w:kern w:val="0"/>
                <w:sz w:val="18"/>
                <w:szCs w:val="18"/>
              </w:rPr>
            </w:pPr>
          </w:p>
        </w:tc>
      </w:tr>
      <w:tr w:rsidR="00626A42" w:rsidRPr="00626A42" w:rsidTr="00626A4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26A42" w:rsidRPr="00626A42">
              <w:trPr>
                <w:tblCellSpacing w:w="0" w:type="dxa"/>
              </w:trPr>
              <w:tc>
                <w:tcPr>
                  <w:tcW w:w="2500" w:type="pct"/>
                  <w:tcMar>
                    <w:top w:w="30" w:type="dxa"/>
                    <w:left w:w="30" w:type="dxa"/>
                    <w:bottom w:w="30" w:type="dxa"/>
                    <w:right w:w="30" w:type="dxa"/>
                  </w:tcMar>
                  <w:hideMark/>
                </w:tcPr>
                <w:p w:rsidR="00626A42" w:rsidRPr="00626A42" w:rsidRDefault="00626A42" w:rsidP="00626A42">
                  <w:pPr>
                    <w:widowControl/>
                    <w:jc w:val="left"/>
                    <w:rPr>
                      <w:rFonts w:ascii="宋体" w:eastAsia="宋体" w:hAnsi="宋体" w:cs="宋体"/>
                      <w:color w:val="686868"/>
                      <w:kern w:val="0"/>
                      <w:sz w:val="18"/>
                      <w:szCs w:val="18"/>
                    </w:rPr>
                  </w:pPr>
                  <w:r w:rsidRPr="00626A42">
                    <w:rPr>
                      <w:rFonts w:ascii="宋体" w:eastAsia="宋体" w:hAnsi="宋体" w:cs="宋体"/>
                      <w:b/>
                      <w:bCs/>
                      <w:color w:val="686868"/>
                      <w:kern w:val="0"/>
                      <w:sz w:val="18"/>
                      <w:szCs w:val="18"/>
                    </w:rPr>
                    <w:t>发布机构:</w:t>
                  </w:r>
                  <w:r w:rsidRPr="00626A42">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626A42" w:rsidRPr="00626A42" w:rsidRDefault="00626A42" w:rsidP="00626A42">
                  <w:pPr>
                    <w:widowControl/>
                    <w:jc w:val="left"/>
                    <w:rPr>
                      <w:rFonts w:ascii="宋体" w:eastAsia="宋体" w:hAnsi="宋体" w:cs="宋体"/>
                      <w:color w:val="686868"/>
                      <w:kern w:val="0"/>
                      <w:sz w:val="18"/>
                      <w:szCs w:val="18"/>
                    </w:rPr>
                  </w:pPr>
                  <w:r w:rsidRPr="00626A42">
                    <w:rPr>
                      <w:rFonts w:ascii="宋体" w:eastAsia="宋体" w:hAnsi="宋体" w:cs="宋体"/>
                      <w:b/>
                      <w:bCs/>
                      <w:color w:val="686868"/>
                      <w:kern w:val="0"/>
                      <w:sz w:val="18"/>
                      <w:szCs w:val="18"/>
                    </w:rPr>
                    <w:t>发文日期:</w:t>
                  </w:r>
                  <w:r w:rsidRPr="00626A42">
                    <w:rPr>
                      <w:rFonts w:ascii="宋体" w:eastAsia="宋体" w:hAnsi="宋体" w:cs="宋体"/>
                      <w:color w:val="686868"/>
                      <w:kern w:val="0"/>
                      <w:sz w:val="18"/>
                      <w:szCs w:val="18"/>
                    </w:rPr>
                    <w:t> 2014年09月19日</w:t>
                  </w:r>
                </w:p>
              </w:tc>
            </w:tr>
          </w:tbl>
          <w:p w:rsidR="00626A42" w:rsidRPr="00626A42" w:rsidRDefault="00626A42" w:rsidP="00626A42">
            <w:pPr>
              <w:widowControl/>
              <w:jc w:val="left"/>
              <w:rPr>
                <w:rFonts w:ascii="宋体" w:eastAsia="宋体" w:hAnsi="宋体" w:cs="宋体"/>
                <w:color w:val="686868"/>
                <w:kern w:val="0"/>
                <w:sz w:val="18"/>
                <w:szCs w:val="18"/>
              </w:rPr>
            </w:pPr>
          </w:p>
        </w:tc>
      </w:tr>
      <w:tr w:rsidR="00626A42" w:rsidRPr="00626A42" w:rsidTr="00626A42">
        <w:trPr>
          <w:tblCellSpacing w:w="0" w:type="dxa"/>
          <w:jc w:val="center"/>
        </w:trPr>
        <w:tc>
          <w:tcPr>
            <w:tcW w:w="0" w:type="auto"/>
            <w:tcMar>
              <w:top w:w="30" w:type="dxa"/>
              <w:left w:w="30" w:type="dxa"/>
              <w:bottom w:w="30" w:type="dxa"/>
              <w:right w:w="30" w:type="dxa"/>
            </w:tcMar>
            <w:hideMark/>
          </w:tcPr>
          <w:p w:rsidR="00626A42" w:rsidRPr="00626A42" w:rsidRDefault="00626A42" w:rsidP="00626A42">
            <w:pPr>
              <w:widowControl/>
              <w:jc w:val="left"/>
              <w:rPr>
                <w:rFonts w:ascii="宋体" w:eastAsia="宋体" w:hAnsi="宋体" w:cs="宋体"/>
                <w:color w:val="686868"/>
                <w:kern w:val="0"/>
                <w:sz w:val="18"/>
                <w:szCs w:val="18"/>
              </w:rPr>
            </w:pPr>
            <w:r w:rsidRPr="00626A42">
              <w:rPr>
                <w:rFonts w:ascii="宋体" w:eastAsia="宋体" w:hAnsi="宋体" w:cs="宋体"/>
                <w:b/>
                <w:bCs/>
                <w:color w:val="686868"/>
                <w:kern w:val="0"/>
                <w:sz w:val="18"/>
                <w:szCs w:val="18"/>
              </w:rPr>
              <w:t>名　　称:</w:t>
            </w:r>
            <w:r w:rsidRPr="00626A42">
              <w:rPr>
                <w:rFonts w:ascii="宋体" w:eastAsia="宋体" w:hAnsi="宋体" w:cs="宋体"/>
                <w:color w:val="686868"/>
                <w:kern w:val="0"/>
                <w:sz w:val="18"/>
                <w:szCs w:val="18"/>
              </w:rPr>
              <w:t> 中国证监会行政处罚决定书（杨晓春、倪宋燕、徐永翔等6名责任人）</w:t>
            </w:r>
          </w:p>
        </w:tc>
      </w:tr>
      <w:tr w:rsidR="00626A42" w:rsidRPr="00626A42" w:rsidTr="00626A4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26A42" w:rsidRPr="00626A42">
              <w:trPr>
                <w:tblCellSpacing w:w="0" w:type="dxa"/>
              </w:trPr>
              <w:tc>
                <w:tcPr>
                  <w:tcW w:w="2500" w:type="pct"/>
                  <w:tcMar>
                    <w:top w:w="30" w:type="dxa"/>
                    <w:left w:w="30" w:type="dxa"/>
                    <w:bottom w:w="30" w:type="dxa"/>
                    <w:right w:w="30" w:type="dxa"/>
                  </w:tcMar>
                  <w:hideMark/>
                </w:tcPr>
                <w:p w:rsidR="00626A42" w:rsidRPr="00626A42" w:rsidRDefault="00626A42" w:rsidP="00626A42">
                  <w:pPr>
                    <w:widowControl/>
                    <w:jc w:val="left"/>
                    <w:rPr>
                      <w:rFonts w:ascii="宋体" w:eastAsia="宋体" w:hAnsi="宋体" w:cs="宋体"/>
                      <w:color w:val="686868"/>
                      <w:kern w:val="0"/>
                      <w:sz w:val="18"/>
                      <w:szCs w:val="18"/>
                    </w:rPr>
                  </w:pPr>
                  <w:r w:rsidRPr="00626A42">
                    <w:rPr>
                      <w:rFonts w:ascii="宋体" w:eastAsia="宋体" w:hAnsi="宋体" w:cs="宋体"/>
                      <w:b/>
                      <w:bCs/>
                      <w:color w:val="686868"/>
                      <w:kern w:val="0"/>
                      <w:sz w:val="18"/>
                      <w:szCs w:val="18"/>
                    </w:rPr>
                    <w:t>文　　号:</w:t>
                  </w:r>
                  <w:r w:rsidRPr="00626A42">
                    <w:rPr>
                      <w:rFonts w:ascii="宋体" w:eastAsia="宋体" w:hAnsi="宋体" w:cs="宋体"/>
                      <w:color w:val="686868"/>
                      <w:kern w:val="0"/>
                      <w:sz w:val="18"/>
                      <w:szCs w:val="18"/>
                    </w:rPr>
                    <w:t> </w:t>
                  </w:r>
                  <w:bookmarkStart w:id="0" w:name="_GoBack"/>
                  <w:r w:rsidRPr="00626A42">
                    <w:rPr>
                      <w:rFonts w:ascii="宋体" w:eastAsia="宋体" w:hAnsi="宋体" w:cs="宋体"/>
                      <w:color w:val="686868"/>
                      <w:kern w:val="0"/>
                      <w:sz w:val="18"/>
                      <w:szCs w:val="18"/>
                    </w:rPr>
                    <w:t>〔2014〕80号</w:t>
                  </w:r>
                  <w:bookmarkEnd w:id="0"/>
                </w:p>
              </w:tc>
              <w:tc>
                <w:tcPr>
                  <w:tcW w:w="0" w:type="auto"/>
                  <w:tcMar>
                    <w:top w:w="30" w:type="dxa"/>
                    <w:left w:w="30" w:type="dxa"/>
                    <w:bottom w:w="30" w:type="dxa"/>
                    <w:right w:w="30" w:type="dxa"/>
                  </w:tcMar>
                  <w:hideMark/>
                </w:tcPr>
                <w:p w:rsidR="00626A42" w:rsidRPr="00626A42" w:rsidRDefault="00626A42" w:rsidP="00626A42">
                  <w:pPr>
                    <w:widowControl/>
                    <w:jc w:val="left"/>
                    <w:rPr>
                      <w:rFonts w:ascii="宋体" w:eastAsia="宋体" w:hAnsi="宋体" w:cs="宋体"/>
                      <w:color w:val="686868"/>
                      <w:kern w:val="0"/>
                      <w:sz w:val="18"/>
                      <w:szCs w:val="18"/>
                    </w:rPr>
                  </w:pPr>
                  <w:r w:rsidRPr="00626A42">
                    <w:rPr>
                      <w:rFonts w:ascii="宋体" w:eastAsia="宋体" w:hAnsi="宋体" w:cs="宋体"/>
                      <w:b/>
                      <w:bCs/>
                      <w:color w:val="686868"/>
                      <w:kern w:val="0"/>
                      <w:sz w:val="18"/>
                      <w:szCs w:val="18"/>
                    </w:rPr>
                    <w:t>主 题 词:</w:t>
                  </w:r>
                </w:p>
              </w:tc>
            </w:tr>
          </w:tbl>
          <w:p w:rsidR="00626A42" w:rsidRPr="00626A42" w:rsidRDefault="00626A42" w:rsidP="00626A42">
            <w:pPr>
              <w:widowControl/>
              <w:jc w:val="left"/>
              <w:rPr>
                <w:rFonts w:ascii="宋体" w:eastAsia="宋体" w:hAnsi="宋体" w:cs="宋体"/>
                <w:color w:val="686868"/>
                <w:kern w:val="0"/>
                <w:sz w:val="18"/>
                <w:szCs w:val="18"/>
              </w:rPr>
            </w:pPr>
          </w:p>
        </w:tc>
      </w:tr>
    </w:tbl>
    <w:p w:rsidR="00626A42" w:rsidRPr="00626A42" w:rsidRDefault="00626A42" w:rsidP="00626A42">
      <w:pPr>
        <w:widowControl/>
        <w:jc w:val="center"/>
        <w:rPr>
          <w:rFonts w:ascii="微软雅黑" w:eastAsia="微软雅黑" w:hAnsi="微软雅黑" w:cs="宋体"/>
          <w:color w:val="000000"/>
          <w:kern w:val="0"/>
          <w:sz w:val="18"/>
          <w:szCs w:val="18"/>
        </w:rPr>
      </w:pPr>
      <w:r w:rsidRPr="00626A42">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626A42" w:rsidRPr="00626A42" w:rsidRDefault="00626A42" w:rsidP="00626A42">
      <w:pPr>
        <w:widowControl/>
        <w:shd w:val="clear" w:color="auto" w:fill="FFFFFF"/>
        <w:spacing w:after="240"/>
        <w:jc w:val="center"/>
        <w:rPr>
          <w:rFonts w:ascii="微软雅黑" w:eastAsia="微软雅黑" w:hAnsi="微软雅黑" w:cs="宋体" w:hint="eastAsia"/>
          <w:color w:val="000000"/>
          <w:kern w:val="0"/>
          <w:sz w:val="18"/>
          <w:szCs w:val="18"/>
        </w:rPr>
      </w:pPr>
      <w:r w:rsidRPr="00626A42">
        <w:rPr>
          <w:rFonts w:ascii="微软雅黑" w:eastAsia="微软雅黑" w:hAnsi="微软雅黑" w:cs="宋体" w:hint="eastAsia"/>
          <w:color w:val="000000"/>
          <w:kern w:val="0"/>
          <w:sz w:val="18"/>
          <w:szCs w:val="18"/>
        </w:rPr>
        <w:br/>
      </w:r>
      <w:r w:rsidRPr="00626A42">
        <w:rPr>
          <w:rFonts w:ascii="黑体" w:eastAsia="黑体" w:hAnsi="黑体" w:cs="宋体" w:hint="eastAsia"/>
          <w:b/>
          <w:bCs/>
          <w:color w:val="FF0000"/>
          <w:kern w:val="0"/>
          <w:sz w:val="36"/>
          <w:szCs w:val="36"/>
        </w:rPr>
        <w:t>中国证监会行政处罚决定书（杨晓春、倪宋燕、徐永翔等6名责任人）</w:t>
      </w:r>
    </w:p>
    <w:p w:rsidR="00626A42" w:rsidRPr="00626A42" w:rsidRDefault="00626A42" w:rsidP="00626A42">
      <w:pPr>
        <w:widowControl/>
        <w:shd w:val="clear" w:color="auto" w:fill="FFFFFF"/>
        <w:spacing w:line="360" w:lineRule="atLeast"/>
        <w:jc w:val="center"/>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〔2014〕80号</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当事人：杨晓春，男，1962年2月出生，住址：浙江省杭州市拱</w:t>
      </w:r>
      <w:proofErr w:type="gramStart"/>
      <w:r w:rsidRPr="00626A42">
        <w:rPr>
          <w:rFonts w:ascii="宋体" w:eastAsia="宋体" w:hAnsi="宋体" w:cs="宋体" w:hint="eastAsia"/>
          <w:color w:val="000000"/>
          <w:kern w:val="0"/>
          <w:szCs w:val="21"/>
        </w:rPr>
        <w:t>墅</w:t>
      </w:r>
      <w:proofErr w:type="gramEnd"/>
      <w:r w:rsidRPr="00626A42">
        <w:rPr>
          <w:rFonts w:ascii="宋体" w:eastAsia="宋体" w:hAnsi="宋体" w:cs="宋体" w:hint="eastAsia"/>
          <w:color w:val="000000"/>
          <w:kern w:val="0"/>
          <w:szCs w:val="21"/>
        </w:rPr>
        <w:t>区湖</w:t>
      </w:r>
      <w:proofErr w:type="gramStart"/>
      <w:r w:rsidRPr="00626A42">
        <w:rPr>
          <w:rFonts w:ascii="宋体" w:eastAsia="宋体" w:hAnsi="宋体" w:cs="宋体" w:hint="eastAsia"/>
          <w:color w:val="000000"/>
          <w:kern w:val="0"/>
          <w:szCs w:val="21"/>
        </w:rPr>
        <w:t>墅</w:t>
      </w:r>
      <w:proofErr w:type="gramEnd"/>
      <w:r w:rsidRPr="00626A42">
        <w:rPr>
          <w:rFonts w:ascii="宋体" w:eastAsia="宋体" w:hAnsi="宋体" w:cs="宋体" w:hint="eastAsia"/>
          <w:color w:val="000000"/>
          <w:kern w:val="0"/>
          <w:szCs w:val="21"/>
        </w:rPr>
        <w:t>南路。</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倪宋燕，男，1981年6月出生，住址：浙江省杭州市江干区杭海路。</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徐永翔，男，1969年10月出生，住址：浙江省淳安县千岛湖镇。</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余菲，女，1988年12月出生，住址：浙江省淳安县。</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方发达，男，1959年10月出生，住址：浙江省淳安县千岛湖镇。</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倪健康，男，1959年1月出生，住址：浙江省淳安县千岛湖镇。</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依据《中华人民共和国证券法》（以下简称《证券法》）的有关规定，我会依法对杨晓春等人内幕交易浙江康盛股份有限公司（以下</w:t>
      </w:r>
      <w:proofErr w:type="gramStart"/>
      <w:r w:rsidRPr="00626A42">
        <w:rPr>
          <w:rFonts w:ascii="宋体" w:eastAsia="宋体" w:hAnsi="宋体" w:cs="宋体" w:hint="eastAsia"/>
          <w:color w:val="000000"/>
          <w:kern w:val="0"/>
          <w:szCs w:val="21"/>
        </w:rPr>
        <w:t>简称康盛股份</w:t>
      </w:r>
      <w:proofErr w:type="gramEnd"/>
      <w:r w:rsidRPr="00626A42">
        <w:rPr>
          <w:rFonts w:ascii="宋体" w:eastAsia="宋体" w:hAnsi="宋体" w:cs="宋体" w:hint="eastAsia"/>
          <w:color w:val="000000"/>
          <w:kern w:val="0"/>
          <w:szCs w:val="21"/>
        </w:rPr>
        <w:t>）股票行为进行了立案调查、审理，并向当事人告知了</w:t>
      </w:r>
      <w:proofErr w:type="gramStart"/>
      <w:r w:rsidRPr="00626A42">
        <w:rPr>
          <w:rFonts w:ascii="宋体" w:eastAsia="宋体" w:hAnsi="宋体" w:cs="宋体" w:hint="eastAsia"/>
          <w:color w:val="000000"/>
          <w:kern w:val="0"/>
          <w:szCs w:val="21"/>
        </w:rPr>
        <w:t>作出</w:t>
      </w:r>
      <w:proofErr w:type="gramEnd"/>
      <w:r w:rsidRPr="00626A42">
        <w:rPr>
          <w:rFonts w:ascii="宋体" w:eastAsia="宋体" w:hAnsi="宋体" w:cs="宋体" w:hint="eastAsia"/>
          <w:color w:val="000000"/>
          <w:kern w:val="0"/>
          <w:szCs w:val="21"/>
        </w:rPr>
        <w:t>行政处罚的事实、理由、依据及当事人依法享有的权利，当事人杨晓春、倪宋燕、徐永翔、余菲、方发达、倪健康均未提交陈述、申辩意见，享有听证权利的当事人杨晓春、方发达、倪健康均未要求听证。本案现已调查、审理终结。</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经查明，当事人杨晓春、倪宋燕、徐永翔、余菲、方发达、倪健康存在以下违法事实：</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一、内幕信息的形成和公开过程</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2012年10月26日至11月14日期间，</w:t>
      </w:r>
      <w:proofErr w:type="gramStart"/>
      <w:r w:rsidRPr="00626A42">
        <w:rPr>
          <w:rFonts w:ascii="宋体" w:eastAsia="宋体" w:hAnsi="宋体" w:cs="宋体" w:hint="eastAsia"/>
          <w:color w:val="000000"/>
          <w:kern w:val="0"/>
          <w:szCs w:val="21"/>
        </w:rPr>
        <w:t>康盛股份</w:t>
      </w:r>
      <w:proofErr w:type="gramEnd"/>
      <w:r w:rsidRPr="00626A42">
        <w:rPr>
          <w:rFonts w:ascii="宋体" w:eastAsia="宋体" w:hAnsi="宋体" w:cs="宋体" w:hint="eastAsia"/>
          <w:color w:val="000000"/>
          <w:kern w:val="0"/>
          <w:szCs w:val="21"/>
        </w:rPr>
        <w:t>派员到浙江省第一地质大队（以下简称地质大队）了解淳安矿产资源情况。</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2012年11月26日，地质大队首次</w:t>
      </w:r>
      <w:proofErr w:type="gramStart"/>
      <w:r w:rsidRPr="00626A42">
        <w:rPr>
          <w:rFonts w:ascii="宋体" w:eastAsia="宋体" w:hAnsi="宋体" w:cs="宋体" w:hint="eastAsia"/>
          <w:color w:val="000000"/>
          <w:kern w:val="0"/>
          <w:szCs w:val="21"/>
        </w:rPr>
        <w:t>来访康盛股份</w:t>
      </w:r>
      <w:proofErr w:type="gramEnd"/>
      <w:r w:rsidRPr="00626A42">
        <w:rPr>
          <w:rFonts w:ascii="宋体" w:eastAsia="宋体" w:hAnsi="宋体" w:cs="宋体" w:hint="eastAsia"/>
          <w:color w:val="000000"/>
          <w:kern w:val="0"/>
          <w:szCs w:val="21"/>
        </w:rPr>
        <w:t>，就合作开发沙木</w:t>
      </w:r>
      <w:proofErr w:type="gramStart"/>
      <w:r w:rsidRPr="00626A42">
        <w:rPr>
          <w:rFonts w:ascii="宋体" w:eastAsia="宋体" w:hAnsi="宋体" w:cs="宋体" w:hint="eastAsia"/>
          <w:color w:val="000000"/>
          <w:kern w:val="0"/>
          <w:szCs w:val="21"/>
        </w:rPr>
        <w:t>坞</w:t>
      </w:r>
      <w:proofErr w:type="gramEnd"/>
      <w:r w:rsidRPr="00626A42">
        <w:rPr>
          <w:rFonts w:ascii="宋体" w:eastAsia="宋体" w:hAnsi="宋体" w:cs="宋体" w:hint="eastAsia"/>
          <w:color w:val="000000"/>
          <w:kern w:val="0"/>
          <w:szCs w:val="21"/>
        </w:rPr>
        <w:t>多金属矿和潘家多金属矿矿区事宜洽谈。</w:t>
      </w:r>
      <w:proofErr w:type="gramStart"/>
      <w:r w:rsidRPr="00626A42">
        <w:rPr>
          <w:rFonts w:ascii="宋体" w:eastAsia="宋体" w:hAnsi="宋体" w:cs="宋体" w:hint="eastAsia"/>
          <w:color w:val="000000"/>
          <w:kern w:val="0"/>
          <w:szCs w:val="21"/>
        </w:rPr>
        <w:t>康盛股份</w:t>
      </w:r>
      <w:proofErr w:type="gramEnd"/>
      <w:r w:rsidRPr="00626A42">
        <w:rPr>
          <w:rFonts w:ascii="宋体" w:eastAsia="宋体" w:hAnsi="宋体" w:cs="宋体" w:hint="eastAsia"/>
          <w:color w:val="000000"/>
          <w:kern w:val="0"/>
          <w:szCs w:val="21"/>
        </w:rPr>
        <w:t>方面参加人有董事长陈某康、方发达、鲁某波、余菲等。</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2012年11月27日，鲁某波起草了合作开发沙木</w:t>
      </w:r>
      <w:proofErr w:type="gramStart"/>
      <w:r w:rsidRPr="00626A42">
        <w:rPr>
          <w:rFonts w:ascii="宋体" w:eastAsia="宋体" w:hAnsi="宋体" w:cs="宋体" w:hint="eastAsia"/>
          <w:color w:val="000000"/>
          <w:kern w:val="0"/>
          <w:szCs w:val="21"/>
        </w:rPr>
        <w:t>坞</w:t>
      </w:r>
      <w:proofErr w:type="gramEnd"/>
      <w:r w:rsidRPr="00626A42">
        <w:rPr>
          <w:rFonts w:ascii="宋体" w:eastAsia="宋体" w:hAnsi="宋体" w:cs="宋体" w:hint="eastAsia"/>
          <w:color w:val="000000"/>
          <w:kern w:val="0"/>
          <w:szCs w:val="21"/>
        </w:rPr>
        <w:t>多金属矿和潘家多金属矿矿区的《战略合作意向书》。</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lastRenderedPageBreak/>
        <w:t>2012年12月4日，双方高层管理人员进行深层次洽谈，分歧较大，参会人员包括</w:t>
      </w:r>
      <w:proofErr w:type="gramStart"/>
      <w:r w:rsidRPr="00626A42">
        <w:rPr>
          <w:rFonts w:ascii="宋体" w:eastAsia="宋体" w:hAnsi="宋体" w:cs="宋体" w:hint="eastAsia"/>
          <w:color w:val="000000"/>
          <w:kern w:val="0"/>
          <w:szCs w:val="21"/>
        </w:rPr>
        <w:t>康盛股份</w:t>
      </w:r>
      <w:proofErr w:type="gramEnd"/>
      <w:r w:rsidRPr="00626A42">
        <w:rPr>
          <w:rFonts w:ascii="宋体" w:eastAsia="宋体" w:hAnsi="宋体" w:cs="宋体" w:hint="eastAsia"/>
          <w:color w:val="000000"/>
          <w:kern w:val="0"/>
          <w:szCs w:val="21"/>
        </w:rPr>
        <w:t>的陈某康、方发达、鲁某波、陈某、徐永翔。12月7日下午，双方会议达成由海地人评估公司进行初评的意见。参会人员包括</w:t>
      </w:r>
      <w:proofErr w:type="gramStart"/>
      <w:r w:rsidRPr="00626A42">
        <w:rPr>
          <w:rFonts w:ascii="宋体" w:eastAsia="宋体" w:hAnsi="宋体" w:cs="宋体" w:hint="eastAsia"/>
          <w:color w:val="000000"/>
          <w:kern w:val="0"/>
          <w:szCs w:val="21"/>
        </w:rPr>
        <w:t>康盛股份</w:t>
      </w:r>
      <w:proofErr w:type="gramEnd"/>
      <w:r w:rsidRPr="00626A42">
        <w:rPr>
          <w:rFonts w:ascii="宋体" w:eastAsia="宋体" w:hAnsi="宋体" w:cs="宋体" w:hint="eastAsia"/>
          <w:color w:val="000000"/>
          <w:kern w:val="0"/>
          <w:szCs w:val="21"/>
        </w:rPr>
        <w:t>的方发达、鲁某波、陈某。</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2013年1月23日的三方会议后，</w:t>
      </w:r>
      <w:proofErr w:type="gramStart"/>
      <w:r w:rsidRPr="00626A42">
        <w:rPr>
          <w:rFonts w:ascii="宋体" w:eastAsia="宋体" w:hAnsi="宋体" w:cs="宋体" w:hint="eastAsia"/>
          <w:color w:val="000000"/>
          <w:kern w:val="0"/>
          <w:szCs w:val="21"/>
        </w:rPr>
        <w:t>康盛股份</w:t>
      </w:r>
      <w:proofErr w:type="gramEnd"/>
      <w:r w:rsidRPr="00626A42">
        <w:rPr>
          <w:rFonts w:ascii="宋体" w:eastAsia="宋体" w:hAnsi="宋体" w:cs="宋体" w:hint="eastAsia"/>
          <w:color w:val="000000"/>
          <w:kern w:val="0"/>
          <w:szCs w:val="21"/>
        </w:rPr>
        <w:t>和地质大队仍有很大分歧，决定择机再谈，方发达提出由鲁某波、徐永翔起草合作意向书。</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2013年2月3日，徐永翔将两矿区的合作协议和合作意向书发给余菲，由余菲打印后交给陈某康。</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2013年2月4日上午10点左右，</w:t>
      </w:r>
      <w:proofErr w:type="gramStart"/>
      <w:r w:rsidRPr="00626A42">
        <w:rPr>
          <w:rFonts w:ascii="宋体" w:eastAsia="宋体" w:hAnsi="宋体" w:cs="宋体" w:hint="eastAsia"/>
          <w:color w:val="000000"/>
          <w:kern w:val="0"/>
          <w:szCs w:val="21"/>
        </w:rPr>
        <w:t>康盛股份</w:t>
      </w:r>
      <w:proofErr w:type="gramEnd"/>
      <w:r w:rsidRPr="00626A42">
        <w:rPr>
          <w:rFonts w:ascii="宋体" w:eastAsia="宋体" w:hAnsi="宋体" w:cs="宋体" w:hint="eastAsia"/>
          <w:color w:val="000000"/>
          <w:kern w:val="0"/>
          <w:szCs w:val="21"/>
        </w:rPr>
        <w:t>发现股票交易异常，立即向深圳证券交易所申请临时停牌并进行公告。</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2013年2月7日至8日，双方签署《潘家矿区合作意向书》、《沙木坞矿区合作意向书》。2013年2月22日，</w:t>
      </w:r>
      <w:proofErr w:type="gramStart"/>
      <w:r w:rsidRPr="00626A42">
        <w:rPr>
          <w:rFonts w:ascii="宋体" w:eastAsia="宋体" w:hAnsi="宋体" w:cs="宋体" w:hint="eastAsia"/>
          <w:color w:val="000000"/>
          <w:kern w:val="0"/>
          <w:szCs w:val="21"/>
        </w:rPr>
        <w:t>康盛股份</w:t>
      </w:r>
      <w:proofErr w:type="gramEnd"/>
      <w:r w:rsidRPr="00626A42">
        <w:rPr>
          <w:rFonts w:ascii="宋体" w:eastAsia="宋体" w:hAnsi="宋体" w:cs="宋体" w:hint="eastAsia"/>
          <w:color w:val="000000"/>
          <w:kern w:val="0"/>
          <w:szCs w:val="21"/>
        </w:rPr>
        <w:t>董事会审议通过收购议案并公告，</w:t>
      </w:r>
      <w:proofErr w:type="gramStart"/>
      <w:r w:rsidRPr="00626A42">
        <w:rPr>
          <w:rFonts w:ascii="宋体" w:eastAsia="宋体" w:hAnsi="宋体" w:cs="宋体" w:hint="eastAsia"/>
          <w:color w:val="000000"/>
          <w:kern w:val="0"/>
          <w:szCs w:val="21"/>
        </w:rPr>
        <w:t>康盛股份</w:t>
      </w:r>
      <w:proofErr w:type="gramEnd"/>
      <w:r w:rsidRPr="00626A42">
        <w:rPr>
          <w:rFonts w:ascii="宋体" w:eastAsia="宋体" w:hAnsi="宋体" w:cs="宋体" w:hint="eastAsia"/>
          <w:color w:val="000000"/>
          <w:kern w:val="0"/>
          <w:szCs w:val="21"/>
        </w:rPr>
        <w:t>拟以不低于评估价格收购潘家矿区项目60%的股权；收购沙木</w:t>
      </w:r>
      <w:proofErr w:type="gramStart"/>
      <w:r w:rsidRPr="00626A42">
        <w:rPr>
          <w:rFonts w:ascii="宋体" w:eastAsia="宋体" w:hAnsi="宋体" w:cs="宋体" w:hint="eastAsia"/>
          <w:color w:val="000000"/>
          <w:kern w:val="0"/>
          <w:szCs w:val="21"/>
        </w:rPr>
        <w:t>坞</w:t>
      </w:r>
      <w:proofErr w:type="gramEnd"/>
      <w:r w:rsidRPr="00626A42">
        <w:rPr>
          <w:rFonts w:ascii="宋体" w:eastAsia="宋体" w:hAnsi="宋体" w:cs="宋体" w:hint="eastAsia"/>
          <w:color w:val="000000"/>
          <w:kern w:val="0"/>
          <w:szCs w:val="21"/>
        </w:rPr>
        <w:t>矿区项目40%的股权。根据中介机构给出的项目建议，潘家矿区项目在4.25平方公里范围内探矿权估价在1.85亿－2.2亿元之间；沙木</w:t>
      </w:r>
      <w:proofErr w:type="gramStart"/>
      <w:r w:rsidRPr="00626A42">
        <w:rPr>
          <w:rFonts w:ascii="宋体" w:eastAsia="宋体" w:hAnsi="宋体" w:cs="宋体" w:hint="eastAsia"/>
          <w:color w:val="000000"/>
          <w:kern w:val="0"/>
          <w:szCs w:val="21"/>
        </w:rPr>
        <w:t>坞</w:t>
      </w:r>
      <w:proofErr w:type="gramEnd"/>
      <w:r w:rsidRPr="00626A42">
        <w:rPr>
          <w:rFonts w:ascii="宋体" w:eastAsia="宋体" w:hAnsi="宋体" w:cs="宋体" w:hint="eastAsia"/>
          <w:color w:val="000000"/>
          <w:kern w:val="0"/>
          <w:szCs w:val="21"/>
        </w:rPr>
        <w:t>矿区项目探矿权估价为6,000万元。</w:t>
      </w:r>
      <w:proofErr w:type="gramStart"/>
      <w:r w:rsidRPr="00626A42">
        <w:rPr>
          <w:rFonts w:ascii="宋体" w:eastAsia="宋体" w:hAnsi="宋体" w:cs="宋体" w:hint="eastAsia"/>
          <w:color w:val="000000"/>
          <w:kern w:val="0"/>
          <w:szCs w:val="21"/>
        </w:rPr>
        <w:t>康盛股份</w:t>
      </w:r>
      <w:proofErr w:type="gramEnd"/>
      <w:r w:rsidRPr="00626A42">
        <w:rPr>
          <w:rFonts w:ascii="宋体" w:eastAsia="宋体" w:hAnsi="宋体" w:cs="宋体" w:hint="eastAsia"/>
          <w:color w:val="000000"/>
          <w:kern w:val="0"/>
          <w:szCs w:val="21"/>
        </w:rPr>
        <w:t>股票于同日复牌。</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626A42">
        <w:rPr>
          <w:rFonts w:ascii="宋体" w:eastAsia="宋体" w:hAnsi="宋体" w:cs="宋体" w:hint="eastAsia"/>
          <w:color w:val="000000"/>
          <w:kern w:val="0"/>
          <w:szCs w:val="21"/>
        </w:rPr>
        <w:t>康盛股份</w:t>
      </w:r>
      <w:proofErr w:type="gramEnd"/>
      <w:r w:rsidRPr="00626A42">
        <w:rPr>
          <w:rFonts w:ascii="宋体" w:eastAsia="宋体" w:hAnsi="宋体" w:cs="宋体" w:hint="eastAsia"/>
          <w:color w:val="000000"/>
          <w:kern w:val="0"/>
          <w:szCs w:val="21"/>
        </w:rPr>
        <w:t>与地质大队签署矿区合作意向书，投资矿业事项，使该公司以传统家电配件生产为主的企业逐步向以家电为主、适度多元化的经营方向发展，属于《证券法》第六十七条第二款规定的“公司重大投资行为和重大的购置财产的决定”，为内幕信息。内幕信息敏感期为2012年11月26日至2013年2月22日。</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二、杨晓春知悉内幕信息和内幕交易的情况</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杨晓春在案发时作为地质大队总工程师，全程参与了矿区合作谈判事项，属于内幕信息知情人。</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626A42">
        <w:rPr>
          <w:rFonts w:ascii="宋体" w:eastAsia="宋体" w:hAnsi="宋体" w:cs="宋体" w:hint="eastAsia"/>
          <w:color w:val="000000"/>
          <w:kern w:val="0"/>
          <w:szCs w:val="21"/>
        </w:rPr>
        <w:t>童某珠是</w:t>
      </w:r>
      <w:proofErr w:type="gramEnd"/>
      <w:r w:rsidRPr="00626A42">
        <w:rPr>
          <w:rFonts w:ascii="宋体" w:eastAsia="宋体" w:hAnsi="宋体" w:cs="宋体" w:hint="eastAsia"/>
          <w:color w:val="000000"/>
          <w:kern w:val="0"/>
          <w:szCs w:val="21"/>
        </w:rPr>
        <w:t>杨晓春的配偶，“童某珠”账户于1997年10月23日开立于银河证券丽水证券营业部。经调查，该账户由杨晓春控制和操作。</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童某珠”账户在2013年2月4日买入“康盛股份”90,000股，成交金额704,200元，并于同年2月25日将上述90,000股全部卖出，盈利总计92,346.87元。交易资金来源于账户内闲置资金。杨晓春承认2013年2月4日上午交易“康盛股份”是因为他了解</w:t>
      </w:r>
      <w:proofErr w:type="gramStart"/>
      <w:r w:rsidRPr="00626A42">
        <w:rPr>
          <w:rFonts w:ascii="宋体" w:eastAsia="宋体" w:hAnsi="宋体" w:cs="宋体" w:hint="eastAsia"/>
          <w:color w:val="000000"/>
          <w:kern w:val="0"/>
          <w:szCs w:val="21"/>
        </w:rPr>
        <w:t>到康盛公司</w:t>
      </w:r>
      <w:proofErr w:type="gramEnd"/>
      <w:r w:rsidRPr="00626A42">
        <w:rPr>
          <w:rFonts w:ascii="宋体" w:eastAsia="宋体" w:hAnsi="宋体" w:cs="宋体" w:hint="eastAsia"/>
          <w:color w:val="000000"/>
          <w:kern w:val="0"/>
          <w:szCs w:val="21"/>
        </w:rPr>
        <w:t>在和地质大队商谈矿区合作事宜，可能会有利好消息，于是就作了投资“康盛股份”的决策。</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三、倪宋燕知悉内幕信息和内幕交易的情况</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倪宋燕于调查时在地质大队工作，并于2012年12月10日至12月14日起草和修订了《保密协议》，参与了2012年12月17日《保密协议》的签署，属于内幕信息知情人。</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“倪宋燕”账户于2010年3月21日开</w:t>
      </w:r>
      <w:proofErr w:type="gramStart"/>
      <w:r w:rsidRPr="00626A42">
        <w:rPr>
          <w:rFonts w:ascii="宋体" w:eastAsia="宋体" w:hAnsi="宋体" w:cs="宋体" w:hint="eastAsia"/>
          <w:color w:val="000000"/>
          <w:kern w:val="0"/>
          <w:szCs w:val="21"/>
        </w:rPr>
        <w:t>立于国</w:t>
      </w:r>
      <w:proofErr w:type="gramEnd"/>
      <w:r w:rsidRPr="00626A42">
        <w:rPr>
          <w:rFonts w:ascii="宋体" w:eastAsia="宋体" w:hAnsi="宋体" w:cs="宋体" w:hint="eastAsia"/>
          <w:color w:val="000000"/>
          <w:kern w:val="0"/>
          <w:szCs w:val="21"/>
        </w:rPr>
        <w:t>信证券杭州体育场路证券营业部，由其本人控制和操作。“倪宋燕”账户2013年2月1日买入“康盛股份”4,800股，成交金额35,424元；2013年2月4日买入“康盛股份”8,900股，成交金额69,153元。2013年2月25日卖出上述股票8,900股，成交金额79,299元；2013年2月26日卖出上述股票4,800股，成交金额40,368元。倪宋燕违法所得为12,341.07元。“倪宋燕”账户之前未交易过“康盛股份”，在2013年2月1日和2月4日集中突击交易“康盛股份”，交易“康盛股份”的特征明显异常。</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lastRenderedPageBreak/>
        <w:t>四、徐永翔知悉内幕信息和内幕交易的情况</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徐永翔自2012年12月4日开始参与矿区合作谈判事项，且在2013年2月2日参与矿区合作意向书的起草和修改工作，属于内幕信息知情人。</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钱某某是徐永翔的配偶，“钱某某”和“徐永翔”两个账户于2007年5月28日开立于西藏证券杭州天目山路证券营业部。“徐永翔”账户于2013年2月4日买入“康盛股份”33,700股，成交金额259,015元。“钱某某”账户于2013年2月4日买入“康盛股份”10,100股，成交金额78,029元。两账户共买入“康盛股份”43,800股，在调查期间均未卖出。两个账户的资金来源于卖出两个账户内其他股票所得。</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徐永翔在接受调查时承认操作其本人和其配偶“钱某某”的账户交易“康盛股份”。“徐永翔”、“钱某某”账户自开户以来至2013年2月4日前从未交易过“康盛股份”，在2013年2月4日当天，将所持股票绝大部分卖出，所得资金全部用来买入“康盛股份”。</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五、余菲知悉内幕信息和内幕交易的情况</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余菲在案发时作为</w:t>
      </w:r>
      <w:proofErr w:type="gramStart"/>
      <w:r w:rsidRPr="00626A42">
        <w:rPr>
          <w:rFonts w:ascii="宋体" w:eastAsia="宋体" w:hAnsi="宋体" w:cs="宋体" w:hint="eastAsia"/>
          <w:color w:val="000000"/>
          <w:kern w:val="0"/>
          <w:szCs w:val="21"/>
        </w:rPr>
        <w:t>康盛股份</w:t>
      </w:r>
      <w:proofErr w:type="gramEnd"/>
      <w:r w:rsidRPr="00626A42">
        <w:rPr>
          <w:rFonts w:ascii="宋体" w:eastAsia="宋体" w:hAnsi="宋体" w:cs="宋体" w:hint="eastAsia"/>
          <w:color w:val="000000"/>
          <w:kern w:val="0"/>
          <w:szCs w:val="21"/>
        </w:rPr>
        <w:t>总经办文员，在2012年11月26日地质大队首次来访</w:t>
      </w:r>
      <w:proofErr w:type="gramStart"/>
      <w:r w:rsidRPr="00626A42">
        <w:rPr>
          <w:rFonts w:ascii="宋体" w:eastAsia="宋体" w:hAnsi="宋体" w:cs="宋体" w:hint="eastAsia"/>
          <w:color w:val="000000"/>
          <w:kern w:val="0"/>
          <w:szCs w:val="21"/>
        </w:rPr>
        <w:t>康盛股份</w:t>
      </w:r>
      <w:proofErr w:type="gramEnd"/>
      <w:r w:rsidRPr="00626A42">
        <w:rPr>
          <w:rFonts w:ascii="宋体" w:eastAsia="宋体" w:hAnsi="宋体" w:cs="宋体" w:hint="eastAsia"/>
          <w:color w:val="000000"/>
          <w:kern w:val="0"/>
          <w:szCs w:val="21"/>
        </w:rPr>
        <w:t>的会议上提供会议服务，在2012年12月26日陪同评估机构到矿区进行考察工作，在2013年2月3日，经手矿区合作意向书，属于内幕信息知情人。</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余菲”账户于2012年6月6日开立于财通证券淳安新安大街证券营业部，该账户由余菲本人控制并使用。“余菲”账户2013年2月1日买入“康盛股份”20,800股，成交金额为152,299元；2月4日买入“康盛股份”9,000股，成交金额为70,212元。上述29,800股“康盛股份”在调查期间未卖出。“余菲”账户在内幕信息敏感期内交易“康盛股份”所使用电脑为余菲的办公电脑，买卖股票的资金来源于余菲从吴某奇处的借款。</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“余菲”账户自开户以来</w:t>
      </w:r>
      <w:proofErr w:type="gramStart"/>
      <w:r w:rsidRPr="00626A42">
        <w:rPr>
          <w:rFonts w:ascii="宋体" w:eastAsia="宋体" w:hAnsi="宋体" w:cs="宋体" w:hint="eastAsia"/>
          <w:color w:val="000000"/>
          <w:kern w:val="0"/>
          <w:szCs w:val="21"/>
        </w:rPr>
        <w:t>只交易</w:t>
      </w:r>
      <w:proofErr w:type="gramEnd"/>
      <w:r w:rsidRPr="00626A42">
        <w:rPr>
          <w:rFonts w:ascii="宋体" w:eastAsia="宋体" w:hAnsi="宋体" w:cs="宋体" w:hint="eastAsia"/>
          <w:color w:val="000000"/>
          <w:kern w:val="0"/>
          <w:szCs w:val="21"/>
        </w:rPr>
        <w:t>过“康盛股份”一只股票，在2012年6月6日至7日交易过“康盛股份”34,500股，之后直至2013年2月1日未交易过任何股票。在2013年2月1日至2月4日突击买入“康盛股份”29,800股，未交易其他任何股票。</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余菲作为服务人员参加了</w:t>
      </w:r>
      <w:proofErr w:type="gramStart"/>
      <w:r w:rsidRPr="00626A42">
        <w:rPr>
          <w:rFonts w:ascii="宋体" w:eastAsia="宋体" w:hAnsi="宋体" w:cs="宋体" w:hint="eastAsia"/>
          <w:color w:val="000000"/>
          <w:kern w:val="0"/>
          <w:szCs w:val="21"/>
        </w:rPr>
        <w:t>2012年12月26日康盛股份</w:t>
      </w:r>
      <w:proofErr w:type="gramEnd"/>
      <w:r w:rsidRPr="00626A42">
        <w:rPr>
          <w:rFonts w:ascii="宋体" w:eastAsia="宋体" w:hAnsi="宋体" w:cs="宋体" w:hint="eastAsia"/>
          <w:color w:val="000000"/>
          <w:kern w:val="0"/>
          <w:szCs w:val="21"/>
        </w:rPr>
        <w:t>、地质大队陪同海地人评估公司去矿区实地考察事项，2013年2月1日其将向</w:t>
      </w:r>
      <w:proofErr w:type="gramStart"/>
      <w:r w:rsidRPr="00626A42">
        <w:rPr>
          <w:rFonts w:ascii="宋体" w:eastAsia="宋体" w:hAnsi="宋体" w:cs="宋体" w:hint="eastAsia"/>
          <w:color w:val="000000"/>
          <w:kern w:val="0"/>
          <w:szCs w:val="21"/>
        </w:rPr>
        <w:t>吴某奇借来</w:t>
      </w:r>
      <w:proofErr w:type="gramEnd"/>
      <w:r w:rsidRPr="00626A42">
        <w:rPr>
          <w:rFonts w:ascii="宋体" w:eastAsia="宋体" w:hAnsi="宋体" w:cs="宋体" w:hint="eastAsia"/>
          <w:color w:val="000000"/>
          <w:kern w:val="0"/>
          <w:szCs w:val="21"/>
        </w:rPr>
        <w:t>的大部分资金买入“康盛股份”，并于2013年2月3日经手潘家矿区和沙木</w:t>
      </w:r>
      <w:proofErr w:type="gramStart"/>
      <w:r w:rsidRPr="00626A42">
        <w:rPr>
          <w:rFonts w:ascii="宋体" w:eastAsia="宋体" w:hAnsi="宋体" w:cs="宋体" w:hint="eastAsia"/>
          <w:color w:val="000000"/>
          <w:kern w:val="0"/>
          <w:szCs w:val="21"/>
        </w:rPr>
        <w:t>坞</w:t>
      </w:r>
      <w:proofErr w:type="gramEnd"/>
      <w:r w:rsidRPr="00626A42">
        <w:rPr>
          <w:rFonts w:ascii="宋体" w:eastAsia="宋体" w:hAnsi="宋体" w:cs="宋体" w:hint="eastAsia"/>
          <w:color w:val="000000"/>
          <w:kern w:val="0"/>
          <w:szCs w:val="21"/>
        </w:rPr>
        <w:t>矿区的合作协议和合作意向书后，在2013年2月4日将其账户剩余资金全部买入“康盛股份”。因此“余菲”账户交易“康盛股份”的时间点与其参与谈判事项相关工作的时间点高度吻合。</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六、方发达知悉内幕信息和内幕交易的情况</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方发达作为</w:t>
      </w:r>
      <w:proofErr w:type="gramStart"/>
      <w:r w:rsidRPr="00626A42">
        <w:rPr>
          <w:rFonts w:ascii="宋体" w:eastAsia="宋体" w:hAnsi="宋体" w:cs="宋体" w:hint="eastAsia"/>
          <w:color w:val="000000"/>
          <w:kern w:val="0"/>
          <w:szCs w:val="21"/>
        </w:rPr>
        <w:t>康盛股份</w:t>
      </w:r>
      <w:proofErr w:type="gramEnd"/>
      <w:r w:rsidRPr="00626A42">
        <w:rPr>
          <w:rFonts w:ascii="宋体" w:eastAsia="宋体" w:hAnsi="宋体" w:cs="宋体" w:hint="eastAsia"/>
          <w:color w:val="000000"/>
          <w:kern w:val="0"/>
          <w:szCs w:val="21"/>
        </w:rPr>
        <w:t>工作人员全程参与了矿区合作谈判事项，属于内幕信息知情人。</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“余某琴”账户于2011年6月16日开立于宏</w:t>
      </w:r>
      <w:proofErr w:type="gramStart"/>
      <w:r w:rsidRPr="00626A42">
        <w:rPr>
          <w:rFonts w:ascii="宋体" w:eastAsia="宋体" w:hAnsi="宋体" w:cs="宋体" w:hint="eastAsia"/>
          <w:color w:val="000000"/>
          <w:kern w:val="0"/>
          <w:szCs w:val="21"/>
        </w:rPr>
        <w:t>源证券</w:t>
      </w:r>
      <w:proofErr w:type="gramEnd"/>
      <w:r w:rsidRPr="00626A42">
        <w:rPr>
          <w:rFonts w:ascii="宋体" w:eastAsia="宋体" w:hAnsi="宋体" w:cs="宋体" w:hint="eastAsia"/>
          <w:color w:val="000000"/>
          <w:kern w:val="0"/>
          <w:szCs w:val="21"/>
        </w:rPr>
        <w:t>杭州浙大路证券营业部。该账户在内幕信息敏感期内共买入“康盛股份”189,900股，调查期间卖出“康盛股份”83,500股，截至2013年7月15日已经全部卖出，最终获利29,884.13元。“余某琴”账户交易“康盛股份”的资金来源于方发达。方发达对其操作“余某琴”账户买卖“康盛股份”的行为予以承认。</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七、倪健康知悉内幕信息和内幕交易的情况</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lastRenderedPageBreak/>
        <w:t>陈某康作为</w:t>
      </w:r>
      <w:proofErr w:type="gramStart"/>
      <w:r w:rsidRPr="00626A42">
        <w:rPr>
          <w:rFonts w:ascii="宋体" w:eastAsia="宋体" w:hAnsi="宋体" w:cs="宋体" w:hint="eastAsia"/>
          <w:color w:val="000000"/>
          <w:kern w:val="0"/>
          <w:szCs w:val="21"/>
        </w:rPr>
        <w:t>康盛股份</w:t>
      </w:r>
      <w:proofErr w:type="gramEnd"/>
      <w:r w:rsidRPr="00626A42">
        <w:rPr>
          <w:rFonts w:ascii="宋体" w:eastAsia="宋体" w:hAnsi="宋体" w:cs="宋体" w:hint="eastAsia"/>
          <w:color w:val="000000"/>
          <w:kern w:val="0"/>
          <w:szCs w:val="21"/>
        </w:rPr>
        <w:t>董事长，参与了矿区合作谈判事项，是内幕信息知情人。根据</w:t>
      </w:r>
      <w:proofErr w:type="gramStart"/>
      <w:r w:rsidRPr="00626A42">
        <w:rPr>
          <w:rFonts w:ascii="宋体" w:eastAsia="宋体" w:hAnsi="宋体" w:cs="宋体" w:hint="eastAsia"/>
          <w:color w:val="000000"/>
          <w:kern w:val="0"/>
          <w:szCs w:val="21"/>
        </w:rPr>
        <w:t>康盛股份</w:t>
      </w:r>
      <w:proofErr w:type="gramEnd"/>
      <w:r w:rsidRPr="00626A42">
        <w:rPr>
          <w:rFonts w:ascii="宋体" w:eastAsia="宋体" w:hAnsi="宋体" w:cs="宋体" w:hint="eastAsia"/>
          <w:color w:val="000000"/>
          <w:kern w:val="0"/>
          <w:szCs w:val="21"/>
        </w:rPr>
        <w:t>董事长陈某康的通话记录显示，在内幕信息敏感期内，陈某康和倪健康总计通话24次，电话联系频繁，并在账户交易前两天存在通话。陈某康与倪健康的关系不错，经常</w:t>
      </w:r>
      <w:proofErr w:type="gramStart"/>
      <w:r w:rsidRPr="00626A42">
        <w:rPr>
          <w:rFonts w:ascii="宋体" w:eastAsia="宋体" w:hAnsi="宋体" w:cs="宋体" w:hint="eastAsia"/>
          <w:color w:val="000000"/>
          <w:kern w:val="0"/>
          <w:szCs w:val="21"/>
        </w:rPr>
        <w:t>一</w:t>
      </w:r>
      <w:proofErr w:type="gramEnd"/>
      <w:r w:rsidRPr="00626A42">
        <w:rPr>
          <w:rFonts w:ascii="宋体" w:eastAsia="宋体" w:hAnsi="宋体" w:cs="宋体" w:hint="eastAsia"/>
          <w:color w:val="000000"/>
          <w:kern w:val="0"/>
          <w:szCs w:val="21"/>
        </w:rPr>
        <w:t>起打高尔夫，二人在2013年2月2日和2月3日在</w:t>
      </w:r>
      <w:proofErr w:type="gramStart"/>
      <w:r w:rsidRPr="00626A42">
        <w:rPr>
          <w:rFonts w:ascii="宋体" w:eastAsia="宋体" w:hAnsi="宋体" w:cs="宋体" w:hint="eastAsia"/>
          <w:color w:val="000000"/>
          <w:kern w:val="0"/>
          <w:szCs w:val="21"/>
        </w:rPr>
        <w:t>一</w:t>
      </w:r>
      <w:proofErr w:type="gramEnd"/>
      <w:r w:rsidRPr="00626A42">
        <w:rPr>
          <w:rFonts w:ascii="宋体" w:eastAsia="宋体" w:hAnsi="宋体" w:cs="宋体" w:hint="eastAsia"/>
          <w:color w:val="000000"/>
          <w:kern w:val="0"/>
          <w:szCs w:val="21"/>
        </w:rPr>
        <w:t>起打过球。倪健康也表示，其在2012年下半年的时候，听说</w:t>
      </w:r>
      <w:proofErr w:type="gramStart"/>
      <w:r w:rsidRPr="00626A42">
        <w:rPr>
          <w:rFonts w:ascii="宋体" w:eastAsia="宋体" w:hAnsi="宋体" w:cs="宋体" w:hint="eastAsia"/>
          <w:color w:val="000000"/>
          <w:kern w:val="0"/>
          <w:szCs w:val="21"/>
        </w:rPr>
        <w:t>康盛股份</w:t>
      </w:r>
      <w:proofErr w:type="gramEnd"/>
      <w:r w:rsidRPr="00626A42">
        <w:rPr>
          <w:rFonts w:ascii="宋体" w:eastAsia="宋体" w:hAnsi="宋体" w:cs="宋体" w:hint="eastAsia"/>
          <w:color w:val="000000"/>
          <w:kern w:val="0"/>
          <w:szCs w:val="21"/>
        </w:rPr>
        <w:t>在涉矿，曾经就该事项向陈某康询问过，陈某康回答说还在进行中。</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626A42">
        <w:rPr>
          <w:rFonts w:ascii="宋体" w:eastAsia="宋体" w:hAnsi="宋体" w:cs="宋体" w:hint="eastAsia"/>
          <w:color w:val="000000"/>
          <w:kern w:val="0"/>
          <w:szCs w:val="21"/>
        </w:rPr>
        <w:t>朱某珍是</w:t>
      </w:r>
      <w:proofErr w:type="gramEnd"/>
      <w:r w:rsidRPr="00626A42">
        <w:rPr>
          <w:rFonts w:ascii="宋体" w:eastAsia="宋体" w:hAnsi="宋体" w:cs="宋体" w:hint="eastAsia"/>
          <w:color w:val="000000"/>
          <w:kern w:val="0"/>
          <w:szCs w:val="21"/>
        </w:rPr>
        <w:t>倪健康的妻子，“朱某珍”账户于2007年9月4日在财通证券淳安新安大街证券营业部开立。该账户的交易资金来源于倪健康，并由其实际控制使用。“朱某珍”账户于2013年2月4日分两笔买入“康盛股份”130,000股，成交金额1,014,362元，</w:t>
      </w:r>
      <w:proofErr w:type="gramStart"/>
      <w:r w:rsidRPr="00626A42">
        <w:rPr>
          <w:rFonts w:ascii="宋体" w:eastAsia="宋体" w:hAnsi="宋体" w:cs="宋体" w:hint="eastAsia"/>
          <w:color w:val="000000"/>
          <w:kern w:val="0"/>
          <w:szCs w:val="21"/>
        </w:rPr>
        <w:t>至调查</w:t>
      </w:r>
      <w:proofErr w:type="gramEnd"/>
      <w:r w:rsidRPr="00626A42">
        <w:rPr>
          <w:rFonts w:ascii="宋体" w:eastAsia="宋体" w:hAnsi="宋体" w:cs="宋体" w:hint="eastAsia"/>
          <w:color w:val="000000"/>
          <w:kern w:val="0"/>
          <w:szCs w:val="21"/>
        </w:rPr>
        <w:t>结束时未卖出。调查显示，该账户在2012年1月1日至2013年2月4日之前未交易过任何股票，在2013年2月4日上午突击转入100万元资金，随即全部用于购买“康盛股份”。该账户交易行为存在明显异常，且交易时点与康盛股份内幕信息形成及公开过程高度吻合。</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倪健康在内幕信息敏感期内与康盛股份董事长陈某康联系密切，其证券账户大额资金转入时点、交易康盛股份时点与内幕信息的形成和发展时点基本吻合，其证券账户在内幕信息的敏感期内交易资金量较之前明显放大、交易习惯明显改变，交易行为明显异常且无正当理由和正当信息来源。因此可以推定倪健康从陈某康处非法获取内幕信息。</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以上事实有交易流水、委托交易记录、当事人询问笔录、通话记录等证据证明。</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杨晓春、倪宋燕、徐永翔、余菲、方发达、倪健康利用内幕信息交易“康盛股份”的行为，违反《证券法》第七十三、七十六条的规定，构成《证券法》第二百零二条所述行为。</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根据当事人的违法事实、性质、情节与社会危害程度，依据《证券法》第二百零二条的规定，我会决定：</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一、没收杨晓春违法所得92,346.87元，并处以92,346元罚款。</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二、对倪宋燕处以42,341元罚款。</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三、责令徐永翔在收到行政处罚决定书次日起7个交易日内依法处理非法持有的股票，如有违法所得予以没收，并处以3万元罚款。</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四、责令余菲在收到行政处罚决定书次日起7个交易日内依法处理非法持有的股票，如有违法所得予以没收，并处以3万元罚款。</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五、对方发达处以59,884元罚款。</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六、责令倪健康在收到行政处罚决定书次日起7个交易日内依法处理非法持有的股票，如有违法所得予以没收，并处以10万元罚款。</w:t>
      </w:r>
    </w:p>
    <w:p w:rsidR="00626A42" w:rsidRPr="00626A42" w:rsidRDefault="00626A42" w:rsidP="00626A4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以在收到本处罚决定书之日起3个月内直接向有管辖权的人民法院提起行政诉讼。复议和诉讼期间，上述决定不停止执行。</w:t>
      </w:r>
    </w:p>
    <w:p w:rsidR="00626A42" w:rsidRPr="00626A42" w:rsidRDefault="00626A42" w:rsidP="00626A4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26A42">
        <w:rPr>
          <w:rFonts w:ascii="Calibri" w:eastAsia="楷体" w:hAnsi="Calibri" w:cs="Calibri"/>
          <w:color w:val="000000"/>
          <w:kern w:val="0"/>
          <w:sz w:val="24"/>
          <w:szCs w:val="24"/>
        </w:rPr>
        <w:lastRenderedPageBreak/>
        <w:t> </w:t>
      </w:r>
    </w:p>
    <w:p w:rsidR="00626A42" w:rsidRPr="00626A42" w:rsidRDefault="00626A42" w:rsidP="00626A4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26A42">
        <w:rPr>
          <w:rFonts w:ascii="Calibri" w:eastAsia="楷体" w:hAnsi="Calibri" w:cs="Calibri"/>
          <w:color w:val="000000"/>
          <w:kern w:val="0"/>
          <w:sz w:val="24"/>
          <w:szCs w:val="24"/>
        </w:rPr>
        <w:t> </w:t>
      </w:r>
    </w:p>
    <w:p w:rsidR="00626A42" w:rsidRPr="00626A42" w:rsidRDefault="00626A42" w:rsidP="00626A4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26A42">
        <w:rPr>
          <w:rFonts w:ascii="Calibri" w:eastAsia="楷体" w:hAnsi="Calibri" w:cs="Calibri"/>
          <w:color w:val="000000"/>
          <w:kern w:val="0"/>
          <w:sz w:val="24"/>
          <w:szCs w:val="24"/>
        </w:rPr>
        <w:t> </w:t>
      </w:r>
    </w:p>
    <w:p w:rsidR="00626A42" w:rsidRPr="00626A42" w:rsidRDefault="00626A42" w:rsidP="00626A4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26A42">
        <w:rPr>
          <w:rFonts w:ascii="Calibri" w:eastAsia="楷体" w:hAnsi="Calibri" w:cs="Calibri"/>
          <w:color w:val="000000"/>
          <w:kern w:val="0"/>
          <w:sz w:val="24"/>
          <w:szCs w:val="24"/>
        </w:rPr>
        <w:t> </w:t>
      </w:r>
    </w:p>
    <w:p w:rsidR="00626A42" w:rsidRPr="00626A42" w:rsidRDefault="00626A42" w:rsidP="00626A4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中国证监会 </w:t>
      </w:r>
    </w:p>
    <w:p w:rsidR="00626A42" w:rsidRPr="00626A42" w:rsidRDefault="00626A42" w:rsidP="00626A4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26A42">
        <w:rPr>
          <w:rFonts w:ascii="宋体" w:eastAsia="宋体" w:hAnsi="宋体" w:cs="宋体" w:hint="eastAsia"/>
          <w:color w:val="000000"/>
          <w:kern w:val="0"/>
          <w:szCs w:val="21"/>
        </w:rPr>
        <w:t>2014年9月19日</w:t>
      </w:r>
    </w:p>
    <w:p w:rsidR="00626A42" w:rsidRPr="00626A42" w:rsidRDefault="00626A42" w:rsidP="00626A42">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626A42" w:rsidRPr="00626A42" w:rsidTr="00626A42">
        <w:trPr>
          <w:tblCellSpacing w:w="15" w:type="dxa"/>
          <w:jc w:val="center"/>
        </w:trPr>
        <w:tc>
          <w:tcPr>
            <w:tcW w:w="900" w:type="dxa"/>
            <w:vAlign w:val="center"/>
            <w:hideMark/>
          </w:tcPr>
          <w:p w:rsidR="00626A42" w:rsidRPr="00626A42" w:rsidRDefault="00626A42" w:rsidP="00626A42">
            <w:pPr>
              <w:widowControl/>
              <w:jc w:val="left"/>
              <w:rPr>
                <w:rFonts w:ascii="宋体" w:eastAsia="宋体" w:hAnsi="宋体" w:cs="宋体" w:hint="eastAsia"/>
                <w:kern w:val="0"/>
                <w:sz w:val="18"/>
                <w:szCs w:val="18"/>
              </w:rPr>
            </w:pPr>
            <w:r w:rsidRPr="00626A42">
              <w:rPr>
                <w:rFonts w:ascii="宋体" w:eastAsia="宋体" w:hAnsi="宋体" w:cs="宋体"/>
                <w:kern w:val="0"/>
                <w:sz w:val="18"/>
                <w:szCs w:val="18"/>
              </w:rPr>
              <w:t> </w:t>
            </w:r>
          </w:p>
        </w:tc>
        <w:tc>
          <w:tcPr>
            <w:tcW w:w="1200" w:type="dxa"/>
            <w:vAlign w:val="center"/>
            <w:hideMark/>
          </w:tcPr>
          <w:p w:rsidR="00626A42" w:rsidRPr="00626A42" w:rsidRDefault="00626A42" w:rsidP="00626A42">
            <w:pPr>
              <w:widowControl/>
              <w:jc w:val="left"/>
              <w:rPr>
                <w:rFonts w:ascii="宋体" w:eastAsia="宋体" w:hAnsi="宋体" w:cs="宋体"/>
                <w:kern w:val="0"/>
                <w:sz w:val="18"/>
                <w:szCs w:val="18"/>
              </w:rPr>
            </w:pPr>
            <w:r w:rsidRPr="00626A42">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26A42" w:rsidRPr="00626A42" w:rsidRDefault="00626A42" w:rsidP="00626A42">
            <w:pPr>
              <w:widowControl/>
              <w:jc w:val="left"/>
              <w:rPr>
                <w:rFonts w:ascii="宋体" w:eastAsia="宋体" w:hAnsi="宋体" w:cs="宋体"/>
                <w:kern w:val="0"/>
                <w:sz w:val="18"/>
                <w:szCs w:val="18"/>
              </w:rPr>
            </w:pPr>
            <w:r w:rsidRPr="00626A42">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26A42" w:rsidRPr="00626A42" w:rsidRDefault="00626A42" w:rsidP="00626A42">
            <w:pPr>
              <w:widowControl/>
              <w:jc w:val="left"/>
              <w:rPr>
                <w:rFonts w:ascii="宋体" w:eastAsia="宋体" w:hAnsi="宋体" w:cs="宋体"/>
                <w:kern w:val="0"/>
                <w:sz w:val="18"/>
                <w:szCs w:val="18"/>
              </w:rPr>
            </w:pPr>
            <w:r w:rsidRPr="00626A42">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626A42" w:rsidRPr="00626A42" w:rsidRDefault="00626A42" w:rsidP="00626A42">
      <w:pPr>
        <w:widowControl/>
        <w:jc w:val="center"/>
        <w:rPr>
          <w:rFonts w:ascii="微软雅黑" w:eastAsia="微软雅黑" w:hAnsi="微软雅黑" w:cs="宋体"/>
          <w:color w:val="515151"/>
          <w:kern w:val="0"/>
          <w:sz w:val="18"/>
          <w:szCs w:val="18"/>
        </w:rPr>
      </w:pPr>
      <w:hyperlink r:id="rId11" w:tgtFrame="_blank" w:history="1">
        <w:r w:rsidRPr="00626A42">
          <w:rPr>
            <w:rFonts w:ascii="微软雅黑" w:eastAsia="微软雅黑" w:hAnsi="微软雅黑" w:cs="宋体" w:hint="eastAsia"/>
            <w:color w:val="0000FF"/>
            <w:kern w:val="0"/>
            <w:sz w:val="18"/>
            <w:szCs w:val="18"/>
            <w:u w:val="single"/>
          </w:rPr>
          <w:t>关于我们</w:t>
        </w:r>
      </w:hyperlink>
      <w:r w:rsidRPr="00626A42">
        <w:rPr>
          <w:rFonts w:ascii="微软雅黑" w:eastAsia="微软雅黑" w:hAnsi="微软雅黑" w:cs="宋体" w:hint="eastAsia"/>
          <w:color w:val="515151"/>
          <w:kern w:val="0"/>
          <w:sz w:val="18"/>
          <w:szCs w:val="18"/>
        </w:rPr>
        <w:t> - </w:t>
      </w:r>
      <w:hyperlink r:id="rId12" w:tgtFrame="_blank" w:history="1">
        <w:r w:rsidRPr="00626A42">
          <w:rPr>
            <w:rFonts w:ascii="微软雅黑" w:eastAsia="微软雅黑" w:hAnsi="微软雅黑" w:cs="宋体" w:hint="eastAsia"/>
            <w:color w:val="0000FF"/>
            <w:kern w:val="0"/>
            <w:sz w:val="18"/>
            <w:szCs w:val="18"/>
            <w:u w:val="single"/>
          </w:rPr>
          <w:t>法律声明</w:t>
        </w:r>
      </w:hyperlink>
      <w:r w:rsidRPr="00626A42">
        <w:rPr>
          <w:rFonts w:ascii="微软雅黑" w:eastAsia="微软雅黑" w:hAnsi="微软雅黑" w:cs="宋体" w:hint="eastAsia"/>
          <w:color w:val="515151"/>
          <w:kern w:val="0"/>
          <w:sz w:val="18"/>
          <w:szCs w:val="18"/>
        </w:rPr>
        <w:t> - </w:t>
      </w:r>
      <w:hyperlink r:id="rId13" w:tgtFrame="_blank" w:history="1">
        <w:r w:rsidRPr="00626A42">
          <w:rPr>
            <w:rFonts w:ascii="微软雅黑" w:eastAsia="微软雅黑" w:hAnsi="微软雅黑" w:cs="宋体" w:hint="eastAsia"/>
            <w:color w:val="0000FF"/>
            <w:kern w:val="0"/>
            <w:sz w:val="18"/>
            <w:szCs w:val="18"/>
            <w:u w:val="single"/>
          </w:rPr>
          <w:t>联系我们</w:t>
        </w:r>
      </w:hyperlink>
    </w:p>
    <w:p w:rsidR="00626A42" w:rsidRPr="00626A42" w:rsidRDefault="00626A42" w:rsidP="00626A42">
      <w:pPr>
        <w:widowControl/>
        <w:jc w:val="center"/>
        <w:rPr>
          <w:rFonts w:ascii="微软雅黑" w:eastAsia="微软雅黑" w:hAnsi="微软雅黑" w:cs="宋体" w:hint="eastAsia"/>
          <w:color w:val="515151"/>
          <w:kern w:val="0"/>
          <w:sz w:val="18"/>
          <w:szCs w:val="18"/>
        </w:rPr>
      </w:pPr>
      <w:r w:rsidRPr="00626A42">
        <w:rPr>
          <w:rFonts w:ascii="微软雅黑" w:eastAsia="微软雅黑" w:hAnsi="微软雅黑" w:cs="宋体" w:hint="eastAsia"/>
          <w:color w:val="515151"/>
          <w:kern w:val="0"/>
          <w:sz w:val="18"/>
          <w:szCs w:val="18"/>
        </w:rPr>
        <w:t>版权所有：中国证券监督管理委员会 京ICP备 05035542号</w:t>
      </w:r>
    </w:p>
    <w:p w:rsidR="00626A42" w:rsidRPr="00626A42" w:rsidRDefault="00626A42" w:rsidP="00626A42">
      <w:pPr>
        <w:widowControl/>
        <w:jc w:val="center"/>
        <w:rPr>
          <w:rFonts w:ascii="微软雅黑" w:eastAsia="微软雅黑" w:hAnsi="微软雅黑" w:cs="宋体" w:hint="eastAsia"/>
          <w:color w:val="515151"/>
          <w:kern w:val="0"/>
          <w:sz w:val="18"/>
          <w:szCs w:val="18"/>
        </w:rPr>
      </w:pPr>
      <w:r w:rsidRPr="00626A42">
        <w:rPr>
          <w:rFonts w:ascii="微软雅黑" w:eastAsia="微软雅黑" w:hAnsi="微软雅黑" w:cs="宋体" w:hint="eastAsia"/>
          <w:color w:val="515151"/>
          <w:kern w:val="0"/>
          <w:sz w:val="18"/>
          <w:szCs w:val="18"/>
        </w:rPr>
        <w:t>地址：北京市西城区金融大街19号富凯大厦A座 邮编：100033</w:t>
      </w:r>
    </w:p>
    <w:p w:rsidR="00626A42" w:rsidRPr="00626A42" w:rsidRDefault="00626A42" w:rsidP="00626A42">
      <w:pPr>
        <w:widowControl/>
        <w:jc w:val="center"/>
        <w:rPr>
          <w:rFonts w:ascii="微软雅黑" w:eastAsia="微软雅黑" w:hAnsi="微软雅黑" w:cs="宋体" w:hint="eastAsia"/>
          <w:color w:val="515151"/>
          <w:kern w:val="0"/>
          <w:sz w:val="18"/>
          <w:szCs w:val="18"/>
        </w:rPr>
      </w:pPr>
      <w:r w:rsidRPr="00626A42">
        <w:rPr>
          <w:rFonts w:ascii="微软雅黑" w:eastAsia="微软雅黑" w:hAnsi="微软雅黑" w:cs="宋体" w:hint="eastAsia"/>
          <w:color w:val="515151"/>
          <w:kern w:val="0"/>
          <w:sz w:val="18"/>
          <w:szCs w:val="18"/>
        </w:rPr>
        <w:t>建议使用IE5.5以上浏览器，分辨率1024*768</w:t>
      </w:r>
    </w:p>
    <w:p w:rsidR="005E7404" w:rsidRPr="00626A42" w:rsidRDefault="005E7404"/>
    <w:sectPr w:rsidR="005E7404" w:rsidRPr="00626A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42"/>
    <w:rsid w:val="005E7404"/>
    <w:rsid w:val="0062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0CD16-BFC0-4B16-A8BA-12A82AA8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6A4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26A42"/>
    <w:rPr>
      <w:b/>
      <w:bCs/>
    </w:rPr>
  </w:style>
  <w:style w:type="paragraph" w:customStyle="1" w:styleId="p0">
    <w:name w:val="p0"/>
    <w:basedOn w:val="a"/>
    <w:rsid w:val="00626A42"/>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626A4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26A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423968">
      <w:bodyDiv w:val="1"/>
      <w:marLeft w:val="0"/>
      <w:marRight w:val="0"/>
      <w:marTop w:val="0"/>
      <w:marBottom w:val="0"/>
      <w:divBdr>
        <w:top w:val="none" w:sz="0" w:space="0" w:color="auto"/>
        <w:left w:val="none" w:sz="0" w:space="0" w:color="auto"/>
        <w:bottom w:val="none" w:sz="0" w:space="0" w:color="auto"/>
        <w:right w:val="none" w:sz="0" w:space="0" w:color="auto"/>
      </w:divBdr>
      <w:divsChild>
        <w:div w:id="1717972930">
          <w:marLeft w:val="0"/>
          <w:marRight w:val="0"/>
          <w:marTop w:val="150"/>
          <w:marBottom w:val="150"/>
          <w:divBdr>
            <w:top w:val="none" w:sz="0" w:space="0" w:color="auto"/>
            <w:left w:val="none" w:sz="0" w:space="0" w:color="auto"/>
            <w:bottom w:val="none" w:sz="0" w:space="0" w:color="auto"/>
            <w:right w:val="none" w:sz="0" w:space="0" w:color="auto"/>
          </w:divBdr>
        </w:div>
        <w:div w:id="269630135">
          <w:marLeft w:val="0"/>
          <w:marRight w:val="0"/>
          <w:marTop w:val="0"/>
          <w:marBottom w:val="0"/>
          <w:divBdr>
            <w:top w:val="single" w:sz="6" w:space="8" w:color="B5B5B5"/>
            <w:left w:val="single" w:sz="6" w:space="0" w:color="B5B5B5"/>
            <w:bottom w:val="single" w:sz="6" w:space="8" w:color="B5B5B5"/>
            <w:right w:val="single" w:sz="6" w:space="0" w:color="B5B5B5"/>
          </w:divBdr>
          <w:divsChild>
            <w:div w:id="1218274936">
              <w:marLeft w:val="0"/>
              <w:marRight w:val="0"/>
              <w:marTop w:val="0"/>
              <w:marBottom w:val="0"/>
              <w:divBdr>
                <w:top w:val="none" w:sz="0" w:space="0" w:color="auto"/>
                <w:left w:val="none" w:sz="0" w:space="0" w:color="auto"/>
                <w:bottom w:val="none" w:sz="0" w:space="0" w:color="auto"/>
                <w:right w:val="none" w:sz="0" w:space="0" w:color="auto"/>
              </w:divBdr>
            </w:div>
            <w:div w:id="952982383">
              <w:marLeft w:val="0"/>
              <w:marRight w:val="0"/>
              <w:marTop w:val="0"/>
              <w:marBottom w:val="0"/>
              <w:divBdr>
                <w:top w:val="none" w:sz="0" w:space="0" w:color="auto"/>
                <w:left w:val="none" w:sz="0" w:space="0" w:color="auto"/>
                <w:bottom w:val="none" w:sz="0" w:space="0" w:color="auto"/>
                <w:right w:val="none" w:sz="0" w:space="0" w:color="auto"/>
              </w:divBdr>
            </w:div>
            <w:div w:id="1633249715">
              <w:marLeft w:val="0"/>
              <w:marRight w:val="0"/>
              <w:marTop w:val="120"/>
              <w:marBottom w:val="120"/>
              <w:divBdr>
                <w:top w:val="none" w:sz="0" w:space="0" w:color="auto"/>
                <w:left w:val="none" w:sz="0" w:space="0" w:color="auto"/>
                <w:bottom w:val="none" w:sz="0" w:space="0" w:color="auto"/>
                <w:right w:val="none" w:sz="0" w:space="0" w:color="auto"/>
              </w:divBdr>
            </w:div>
          </w:divsChild>
        </w:div>
        <w:div w:id="1267805660">
          <w:marLeft w:val="0"/>
          <w:marRight w:val="0"/>
          <w:marTop w:val="120"/>
          <w:marBottom w:val="0"/>
          <w:divBdr>
            <w:top w:val="none" w:sz="0" w:space="0" w:color="auto"/>
            <w:left w:val="none" w:sz="0" w:space="0" w:color="auto"/>
            <w:bottom w:val="none" w:sz="0" w:space="0" w:color="auto"/>
            <w:right w:val="none" w:sz="0" w:space="0" w:color="auto"/>
          </w:divBdr>
          <w:divsChild>
            <w:div w:id="553086722">
              <w:marLeft w:val="0"/>
              <w:marRight w:val="0"/>
              <w:marTop w:val="60"/>
              <w:marBottom w:val="0"/>
              <w:divBdr>
                <w:top w:val="none" w:sz="0" w:space="0" w:color="auto"/>
                <w:left w:val="none" w:sz="0" w:space="0" w:color="auto"/>
                <w:bottom w:val="none" w:sz="0" w:space="0" w:color="auto"/>
                <w:right w:val="none" w:sz="0" w:space="0" w:color="auto"/>
              </w:divBdr>
            </w:div>
            <w:div w:id="1307203934">
              <w:marLeft w:val="0"/>
              <w:marRight w:val="0"/>
              <w:marTop w:val="60"/>
              <w:marBottom w:val="0"/>
              <w:divBdr>
                <w:top w:val="none" w:sz="0" w:space="0" w:color="auto"/>
                <w:left w:val="none" w:sz="0" w:space="0" w:color="auto"/>
                <w:bottom w:val="none" w:sz="0" w:space="0" w:color="auto"/>
                <w:right w:val="none" w:sz="0" w:space="0" w:color="auto"/>
              </w:divBdr>
            </w:div>
            <w:div w:id="93326679">
              <w:marLeft w:val="0"/>
              <w:marRight w:val="0"/>
              <w:marTop w:val="60"/>
              <w:marBottom w:val="0"/>
              <w:divBdr>
                <w:top w:val="none" w:sz="0" w:space="0" w:color="auto"/>
                <w:left w:val="none" w:sz="0" w:space="0" w:color="auto"/>
                <w:bottom w:val="none" w:sz="0" w:space="0" w:color="auto"/>
                <w:right w:val="none" w:sz="0" w:space="0" w:color="auto"/>
              </w:divBdr>
            </w:div>
            <w:div w:id="12438753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12/t20141201_26442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2020-02-19T13:44:00Z</dcterms:created>
  <dcterms:modified xsi:type="dcterms:W3CDTF">2020-02-19T13:45:00Z</dcterms:modified>
</cp:coreProperties>
</file>