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868" w:rsidRPr="006E6868" w:rsidRDefault="006E6868" w:rsidP="006E6868">
      <w:pPr>
        <w:widowControl/>
        <w:jc w:val="center"/>
        <w:rPr>
          <w:rFonts w:ascii="微软雅黑" w:eastAsia="微软雅黑" w:hAnsi="微软雅黑" w:cs="宋体"/>
          <w:color w:val="000000"/>
          <w:kern w:val="0"/>
          <w:sz w:val="18"/>
          <w:szCs w:val="18"/>
        </w:rPr>
      </w:pPr>
      <w:r w:rsidRPr="006E686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6E6868" w:rsidRPr="006E6868" w:rsidTr="006E686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E6868" w:rsidRPr="006E6868">
              <w:trPr>
                <w:tblCellSpacing w:w="0" w:type="dxa"/>
              </w:trPr>
              <w:tc>
                <w:tcPr>
                  <w:tcW w:w="2500" w:type="pct"/>
                  <w:tcMar>
                    <w:top w:w="30" w:type="dxa"/>
                    <w:left w:w="30" w:type="dxa"/>
                    <w:bottom w:w="30" w:type="dxa"/>
                    <w:right w:w="30" w:type="dxa"/>
                  </w:tcMar>
                  <w:hideMark/>
                </w:tcPr>
                <w:p w:rsidR="006E6868" w:rsidRPr="006E6868" w:rsidRDefault="006E6868" w:rsidP="006E6868">
                  <w:pPr>
                    <w:widowControl/>
                    <w:jc w:val="left"/>
                    <w:rPr>
                      <w:rFonts w:ascii="宋体" w:eastAsia="宋体" w:hAnsi="宋体" w:cs="宋体" w:hint="eastAsia"/>
                      <w:color w:val="686868"/>
                      <w:kern w:val="0"/>
                      <w:sz w:val="18"/>
                      <w:szCs w:val="18"/>
                    </w:rPr>
                  </w:pPr>
                  <w:r w:rsidRPr="006E6868">
                    <w:rPr>
                      <w:rFonts w:ascii="宋体" w:eastAsia="宋体" w:hAnsi="宋体" w:cs="宋体"/>
                      <w:b/>
                      <w:bCs/>
                      <w:color w:val="686868"/>
                      <w:kern w:val="0"/>
                      <w:sz w:val="18"/>
                      <w:szCs w:val="18"/>
                    </w:rPr>
                    <w:t>索 引 号:</w:t>
                  </w:r>
                  <w:r w:rsidRPr="006E686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6E6868" w:rsidRPr="006E6868" w:rsidRDefault="006E6868" w:rsidP="006E6868">
                  <w:pPr>
                    <w:widowControl/>
                    <w:jc w:val="left"/>
                    <w:rPr>
                      <w:rFonts w:ascii="宋体" w:eastAsia="宋体" w:hAnsi="宋体" w:cs="宋体"/>
                      <w:color w:val="686868"/>
                      <w:kern w:val="0"/>
                      <w:sz w:val="18"/>
                      <w:szCs w:val="18"/>
                    </w:rPr>
                  </w:pPr>
                  <w:r w:rsidRPr="006E6868">
                    <w:rPr>
                      <w:rFonts w:ascii="宋体" w:eastAsia="宋体" w:hAnsi="宋体" w:cs="宋体"/>
                      <w:b/>
                      <w:bCs/>
                      <w:color w:val="686868"/>
                      <w:kern w:val="0"/>
                      <w:sz w:val="18"/>
                      <w:szCs w:val="18"/>
                    </w:rPr>
                    <w:t>分类:</w:t>
                  </w:r>
                  <w:r w:rsidRPr="006E6868">
                    <w:rPr>
                      <w:rFonts w:ascii="宋体" w:eastAsia="宋体" w:hAnsi="宋体" w:cs="宋体"/>
                      <w:color w:val="686868"/>
                      <w:kern w:val="0"/>
                      <w:sz w:val="18"/>
                      <w:szCs w:val="18"/>
                    </w:rPr>
                    <w:t> 行政处罚 ; 行政处罚决定</w:t>
                  </w:r>
                </w:p>
              </w:tc>
            </w:tr>
          </w:tbl>
          <w:p w:rsidR="006E6868" w:rsidRPr="006E6868" w:rsidRDefault="006E6868" w:rsidP="006E6868">
            <w:pPr>
              <w:widowControl/>
              <w:jc w:val="left"/>
              <w:rPr>
                <w:rFonts w:ascii="宋体" w:eastAsia="宋体" w:hAnsi="宋体" w:cs="宋体"/>
                <w:color w:val="686868"/>
                <w:kern w:val="0"/>
                <w:sz w:val="18"/>
                <w:szCs w:val="18"/>
              </w:rPr>
            </w:pPr>
          </w:p>
        </w:tc>
      </w:tr>
      <w:tr w:rsidR="006E6868" w:rsidRPr="006E6868" w:rsidTr="006E686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E6868" w:rsidRPr="006E6868">
              <w:trPr>
                <w:tblCellSpacing w:w="0" w:type="dxa"/>
              </w:trPr>
              <w:tc>
                <w:tcPr>
                  <w:tcW w:w="2500" w:type="pct"/>
                  <w:tcMar>
                    <w:top w:w="30" w:type="dxa"/>
                    <w:left w:w="30" w:type="dxa"/>
                    <w:bottom w:w="30" w:type="dxa"/>
                    <w:right w:w="30" w:type="dxa"/>
                  </w:tcMar>
                  <w:hideMark/>
                </w:tcPr>
                <w:p w:rsidR="006E6868" w:rsidRPr="006E6868" w:rsidRDefault="006E6868" w:rsidP="006E6868">
                  <w:pPr>
                    <w:widowControl/>
                    <w:jc w:val="left"/>
                    <w:rPr>
                      <w:rFonts w:ascii="宋体" w:eastAsia="宋体" w:hAnsi="宋体" w:cs="宋体"/>
                      <w:color w:val="686868"/>
                      <w:kern w:val="0"/>
                      <w:sz w:val="18"/>
                      <w:szCs w:val="18"/>
                    </w:rPr>
                  </w:pPr>
                  <w:r w:rsidRPr="006E6868">
                    <w:rPr>
                      <w:rFonts w:ascii="宋体" w:eastAsia="宋体" w:hAnsi="宋体" w:cs="宋体"/>
                      <w:b/>
                      <w:bCs/>
                      <w:color w:val="686868"/>
                      <w:kern w:val="0"/>
                      <w:sz w:val="18"/>
                      <w:szCs w:val="18"/>
                    </w:rPr>
                    <w:t>发布机构:</w:t>
                  </w:r>
                  <w:r w:rsidRPr="006E686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6E6868" w:rsidRPr="006E6868" w:rsidRDefault="006E6868" w:rsidP="006E6868">
                  <w:pPr>
                    <w:widowControl/>
                    <w:jc w:val="left"/>
                    <w:rPr>
                      <w:rFonts w:ascii="宋体" w:eastAsia="宋体" w:hAnsi="宋体" w:cs="宋体"/>
                      <w:color w:val="686868"/>
                      <w:kern w:val="0"/>
                      <w:sz w:val="18"/>
                      <w:szCs w:val="18"/>
                    </w:rPr>
                  </w:pPr>
                  <w:r w:rsidRPr="006E6868">
                    <w:rPr>
                      <w:rFonts w:ascii="宋体" w:eastAsia="宋体" w:hAnsi="宋体" w:cs="宋体"/>
                      <w:b/>
                      <w:bCs/>
                      <w:color w:val="686868"/>
                      <w:kern w:val="0"/>
                      <w:sz w:val="18"/>
                      <w:szCs w:val="18"/>
                    </w:rPr>
                    <w:t>发文日期:</w:t>
                  </w:r>
                  <w:r w:rsidRPr="006E6868">
                    <w:rPr>
                      <w:rFonts w:ascii="宋体" w:eastAsia="宋体" w:hAnsi="宋体" w:cs="宋体"/>
                      <w:color w:val="686868"/>
                      <w:kern w:val="0"/>
                      <w:sz w:val="18"/>
                      <w:szCs w:val="18"/>
                    </w:rPr>
                    <w:t> 2015年07月13日</w:t>
                  </w:r>
                </w:p>
              </w:tc>
            </w:tr>
          </w:tbl>
          <w:p w:rsidR="006E6868" w:rsidRPr="006E6868" w:rsidRDefault="006E6868" w:rsidP="006E6868">
            <w:pPr>
              <w:widowControl/>
              <w:jc w:val="left"/>
              <w:rPr>
                <w:rFonts w:ascii="宋体" w:eastAsia="宋体" w:hAnsi="宋体" w:cs="宋体"/>
                <w:color w:val="686868"/>
                <w:kern w:val="0"/>
                <w:sz w:val="18"/>
                <w:szCs w:val="18"/>
              </w:rPr>
            </w:pPr>
          </w:p>
        </w:tc>
      </w:tr>
      <w:tr w:rsidR="006E6868" w:rsidRPr="006E6868" w:rsidTr="006E6868">
        <w:trPr>
          <w:tblCellSpacing w:w="0" w:type="dxa"/>
          <w:jc w:val="center"/>
        </w:trPr>
        <w:tc>
          <w:tcPr>
            <w:tcW w:w="0" w:type="auto"/>
            <w:tcMar>
              <w:top w:w="30" w:type="dxa"/>
              <w:left w:w="30" w:type="dxa"/>
              <w:bottom w:w="30" w:type="dxa"/>
              <w:right w:w="30" w:type="dxa"/>
            </w:tcMar>
            <w:hideMark/>
          </w:tcPr>
          <w:p w:rsidR="006E6868" w:rsidRPr="006E6868" w:rsidRDefault="006E6868" w:rsidP="006E6868">
            <w:pPr>
              <w:widowControl/>
              <w:jc w:val="left"/>
              <w:rPr>
                <w:rFonts w:ascii="宋体" w:eastAsia="宋体" w:hAnsi="宋体" w:cs="宋体"/>
                <w:color w:val="686868"/>
                <w:kern w:val="0"/>
                <w:sz w:val="18"/>
                <w:szCs w:val="18"/>
              </w:rPr>
            </w:pPr>
            <w:r w:rsidRPr="006E6868">
              <w:rPr>
                <w:rFonts w:ascii="宋体" w:eastAsia="宋体" w:hAnsi="宋体" w:cs="宋体"/>
                <w:b/>
                <w:bCs/>
                <w:color w:val="686868"/>
                <w:kern w:val="0"/>
                <w:sz w:val="18"/>
                <w:szCs w:val="18"/>
              </w:rPr>
              <w:t>名　　称:</w:t>
            </w:r>
            <w:r w:rsidRPr="006E6868">
              <w:rPr>
                <w:rFonts w:ascii="宋体" w:eastAsia="宋体" w:hAnsi="宋体" w:cs="宋体"/>
                <w:color w:val="686868"/>
                <w:kern w:val="0"/>
                <w:sz w:val="18"/>
                <w:szCs w:val="18"/>
              </w:rPr>
              <w:t> 中国证监会行政处罚决定书（杨君）</w:t>
            </w:r>
          </w:p>
        </w:tc>
      </w:tr>
      <w:tr w:rsidR="006E6868" w:rsidRPr="006E6868" w:rsidTr="006E686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6E6868" w:rsidRPr="006E6868">
              <w:trPr>
                <w:tblCellSpacing w:w="0" w:type="dxa"/>
              </w:trPr>
              <w:tc>
                <w:tcPr>
                  <w:tcW w:w="2500" w:type="pct"/>
                  <w:tcMar>
                    <w:top w:w="30" w:type="dxa"/>
                    <w:left w:w="30" w:type="dxa"/>
                    <w:bottom w:w="30" w:type="dxa"/>
                    <w:right w:w="30" w:type="dxa"/>
                  </w:tcMar>
                  <w:hideMark/>
                </w:tcPr>
                <w:p w:rsidR="006E6868" w:rsidRPr="006E6868" w:rsidRDefault="006E6868" w:rsidP="006E6868">
                  <w:pPr>
                    <w:widowControl/>
                    <w:jc w:val="left"/>
                    <w:rPr>
                      <w:rFonts w:ascii="宋体" w:eastAsia="宋体" w:hAnsi="宋体" w:cs="宋体"/>
                      <w:color w:val="686868"/>
                      <w:kern w:val="0"/>
                      <w:sz w:val="18"/>
                      <w:szCs w:val="18"/>
                    </w:rPr>
                  </w:pPr>
                  <w:r w:rsidRPr="006E6868">
                    <w:rPr>
                      <w:rFonts w:ascii="宋体" w:eastAsia="宋体" w:hAnsi="宋体" w:cs="宋体"/>
                      <w:b/>
                      <w:bCs/>
                      <w:color w:val="686868"/>
                      <w:kern w:val="0"/>
                      <w:sz w:val="18"/>
                      <w:szCs w:val="18"/>
                    </w:rPr>
                    <w:t>文　　号:</w:t>
                  </w:r>
                  <w:r w:rsidRPr="006E6868">
                    <w:rPr>
                      <w:rFonts w:ascii="宋体" w:eastAsia="宋体" w:hAnsi="宋体" w:cs="宋体"/>
                      <w:color w:val="686868"/>
                      <w:kern w:val="0"/>
                      <w:sz w:val="18"/>
                      <w:szCs w:val="18"/>
                    </w:rPr>
                    <w:t> </w:t>
                  </w:r>
                  <w:bookmarkStart w:id="0" w:name="_GoBack"/>
                  <w:r w:rsidRPr="006E6868">
                    <w:rPr>
                      <w:rFonts w:ascii="宋体" w:eastAsia="宋体" w:hAnsi="宋体" w:cs="宋体"/>
                      <w:color w:val="686868"/>
                      <w:kern w:val="0"/>
                      <w:sz w:val="18"/>
                      <w:szCs w:val="18"/>
                    </w:rPr>
                    <w:t>〔2015〕17号</w:t>
                  </w:r>
                  <w:bookmarkEnd w:id="0"/>
                </w:p>
              </w:tc>
              <w:tc>
                <w:tcPr>
                  <w:tcW w:w="0" w:type="auto"/>
                  <w:tcMar>
                    <w:top w:w="30" w:type="dxa"/>
                    <w:left w:w="30" w:type="dxa"/>
                    <w:bottom w:w="30" w:type="dxa"/>
                    <w:right w:w="30" w:type="dxa"/>
                  </w:tcMar>
                  <w:hideMark/>
                </w:tcPr>
                <w:p w:rsidR="006E6868" w:rsidRPr="006E6868" w:rsidRDefault="006E6868" w:rsidP="006E6868">
                  <w:pPr>
                    <w:widowControl/>
                    <w:jc w:val="left"/>
                    <w:rPr>
                      <w:rFonts w:ascii="宋体" w:eastAsia="宋体" w:hAnsi="宋体" w:cs="宋体"/>
                      <w:color w:val="686868"/>
                      <w:kern w:val="0"/>
                      <w:sz w:val="18"/>
                      <w:szCs w:val="18"/>
                    </w:rPr>
                  </w:pPr>
                  <w:r w:rsidRPr="006E6868">
                    <w:rPr>
                      <w:rFonts w:ascii="宋体" w:eastAsia="宋体" w:hAnsi="宋体" w:cs="宋体"/>
                      <w:b/>
                      <w:bCs/>
                      <w:color w:val="686868"/>
                      <w:kern w:val="0"/>
                      <w:sz w:val="18"/>
                      <w:szCs w:val="18"/>
                    </w:rPr>
                    <w:t>主 题 词:</w:t>
                  </w:r>
                </w:p>
              </w:tc>
            </w:tr>
          </w:tbl>
          <w:p w:rsidR="006E6868" w:rsidRPr="006E6868" w:rsidRDefault="006E6868" w:rsidP="006E6868">
            <w:pPr>
              <w:widowControl/>
              <w:jc w:val="left"/>
              <w:rPr>
                <w:rFonts w:ascii="宋体" w:eastAsia="宋体" w:hAnsi="宋体" w:cs="宋体"/>
                <w:color w:val="686868"/>
                <w:kern w:val="0"/>
                <w:sz w:val="18"/>
                <w:szCs w:val="18"/>
              </w:rPr>
            </w:pPr>
          </w:p>
        </w:tc>
      </w:tr>
    </w:tbl>
    <w:p w:rsidR="006E6868" w:rsidRPr="006E6868" w:rsidRDefault="006E6868" w:rsidP="006E6868">
      <w:pPr>
        <w:widowControl/>
        <w:jc w:val="center"/>
        <w:rPr>
          <w:rFonts w:ascii="微软雅黑" w:eastAsia="微软雅黑" w:hAnsi="微软雅黑" w:cs="宋体"/>
          <w:color w:val="000000"/>
          <w:kern w:val="0"/>
          <w:sz w:val="18"/>
          <w:szCs w:val="18"/>
        </w:rPr>
      </w:pPr>
      <w:r w:rsidRPr="006E686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6E6868" w:rsidRPr="006E6868" w:rsidRDefault="006E6868" w:rsidP="006E6868">
      <w:pPr>
        <w:widowControl/>
        <w:shd w:val="clear" w:color="auto" w:fill="FFFFFF"/>
        <w:spacing w:after="240"/>
        <w:jc w:val="center"/>
        <w:rPr>
          <w:rFonts w:ascii="微软雅黑" w:eastAsia="微软雅黑" w:hAnsi="微软雅黑" w:cs="宋体" w:hint="eastAsia"/>
          <w:color w:val="000000"/>
          <w:kern w:val="0"/>
          <w:sz w:val="18"/>
          <w:szCs w:val="18"/>
        </w:rPr>
      </w:pPr>
      <w:r w:rsidRPr="006E6868">
        <w:rPr>
          <w:rFonts w:ascii="微软雅黑" w:eastAsia="微软雅黑" w:hAnsi="微软雅黑" w:cs="宋体" w:hint="eastAsia"/>
          <w:color w:val="000000"/>
          <w:kern w:val="0"/>
          <w:sz w:val="18"/>
          <w:szCs w:val="18"/>
        </w:rPr>
        <w:br/>
      </w:r>
      <w:r w:rsidRPr="006E6868">
        <w:rPr>
          <w:rFonts w:ascii="黑体" w:eastAsia="黑体" w:hAnsi="黑体" w:cs="宋体" w:hint="eastAsia"/>
          <w:b/>
          <w:bCs/>
          <w:color w:val="FF0000"/>
          <w:kern w:val="0"/>
          <w:sz w:val="36"/>
          <w:szCs w:val="36"/>
        </w:rPr>
        <w:t>中国证监会行政处罚决定书（杨君）</w:t>
      </w:r>
    </w:p>
    <w:p w:rsidR="006E6868" w:rsidRPr="006E6868" w:rsidRDefault="006E6868" w:rsidP="006E6868">
      <w:pPr>
        <w:widowControl/>
        <w:shd w:val="clear" w:color="auto" w:fill="FFFFFF"/>
        <w:spacing w:line="360" w:lineRule="atLeast"/>
        <w:jc w:val="center"/>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w:t>
      </w:r>
      <w:r w:rsidRPr="006E6868">
        <w:rPr>
          <w:rFonts w:ascii="Times New Roman" w:eastAsia="宋体" w:hAnsi="Times New Roman" w:cs="Times New Roman" w:hint="eastAsia"/>
          <w:color w:val="000000"/>
          <w:kern w:val="0"/>
          <w:szCs w:val="21"/>
        </w:rPr>
        <w:t>2015</w:t>
      </w:r>
      <w:r w:rsidRPr="006E6868">
        <w:rPr>
          <w:rFonts w:ascii="宋体" w:eastAsia="宋体" w:hAnsi="宋体" w:cs="宋体" w:hint="eastAsia"/>
          <w:color w:val="000000"/>
          <w:kern w:val="0"/>
          <w:szCs w:val="21"/>
        </w:rPr>
        <w:t>〕</w:t>
      </w:r>
      <w:r w:rsidRPr="006E6868">
        <w:rPr>
          <w:rFonts w:ascii="Times New Roman" w:eastAsia="宋体" w:hAnsi="Times New Roman" w:cs="Times New Roman" w:hint="eastAsia"/>
          <w:color w:val="000000"/>
          <w:kern w:val="0"/>
          <w:szCs w:val="21"/>
        </w:rPr>
        <w:t>17</w:t>
      </w:r>
      <w:r w:rsidRPr="006E6868">
        <w:rPr>
          <w:rFonts w:ascii="宋体" w:eastAsia="宋体" w:hAnsi="宋体" w:cs="宋体" w:hint="eastAsia"/>
          <w:color w:val="000000"/>
          <w:kern w:val="0"/>
          <w:szCs w:val="21"/>
        </w:rPr>
        <w:t>号</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当事人：杨君，女，</w:t>
      </w:r>
      <w:r w:rsidRPr="006E6868">
        <w:rPr>
          <w:rFonts w:ascii="Times New Roman" w:eastAsia="宋体" w:hAnsi="Times New Roman" w:cs="Times New Roman" w:hint="eastAsia"/>
          <w:color w:val="000000"/>
          <w:kern w:val="0"/>
          <w:szCs w:val="21"/>
        </w:rPr>
        <w:t>1971</w:t>
      </w:r>
      <w:r w:rsidRPr="006E6868">
        <w:rPr>
          <w:rFonts w:ascii="宋体" w:eastAsia="宋体" w:hAnsi="宋体" w:cs="宋体" w:hint="eastAsia"/>
          <w:color w:val="000000"/>
          <w:kern w:val="0"/>
          <w:szCs w:val="21"/>
        </w:rPr>
        <w:t>年</w:t>
      </w:r>
      <w:r w:rsidRPr="006E6868">
        <w:rPr>
          <w:rFonts w:ascii="Times New Roman" w:eastAsia="宋体" w:hAnsi="Times New Roman" w:cs="Times New Roman" w:hint="eastAsia"/>
          <w:color w:val="000000"/>
          <w:kern w:val="0"/>
          <w:szCs w:val="21"/>
        </w:rPr>
        <w:t>6</w:t>
      </w:r>
      <w:r w:rsidRPr="006E6868">
        <w:rPr>
          <w:rFonts w:ascii="宋体" w:eastAsia="宋体" w:hAnsi="宋体" w:cs="宋体" w:hint="eastAsia"/>
          <w:color w:val="000000"/>
          <w:kern w:val="0"/>
          <w:szCs w:val="21"/>
        </w:rPr>
        <w:t>月出生，住址：山东省青岛市市南区台南路。</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依据《中华人民共和国证券法》（以下简称《证券法》）的有关规定，我会对杨君内幕交易行为进行了立案调查、审理，并依法向当事人告知了</w:t>
      </w:r>
      <w:proofErr w:type="gramStart"/>
      <w:r w:rsidRPr="006E6868">
        <w:rPr>
          <w:rFonts w:ascii="宋体" w:eastAsia="宋体" w:hAnsi="宋体" w:cs="宋体" w:hint="eastAsia"/>
          <w:color w:val="000000"/>
          <w:kern w:val="0"/>
          <w:szCs w:val="21"/>
        </w:rPr>
        <w:t>作出</w:t>
      </w:r>
      <w:proofErr w:type="gramEnd"/>
      <w:r w:rsidRPr="006E6868">
        <w:rPr>
          <w:rFonts w:ascii="宋体" w:eastAsia="宋体" w:hAnsi="宋体" w:cs="宋体" w:hint="eastAsia"/>
          <w:color w:val="000000"/>
          <w:kern w:val="0"/>
          <w:szCs w:val="21"/>
        </w:rPr>
        <w:t>行政处罚的事实、理由、依据及当事人依法享有的权利，当事人未提出陈述、申辩意见，也未要求听证。本案现已调查、审理终结。</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经查明，杨君内幕交易的事实如下：</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一、内幕信息的形成和公开过程</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2012年</w:t>
      </w:r>
      <w:r w:rsidRPr="006E6868">
        <w:rPr>
          <w:rFonts w:ascii="Times New Roman" w:eastAsia="宋体" w:hAnsi="Times New Roman" w:cs="Times New Roman" w:hint="eastAsia"/>
          <w:color w:val="000000"/>
          <w:kern w:val="0"/>
          <w:szCs w:val="21"/>
        </w:rPr>
        <w:t>6</w:t>
      </w:r>
      <w:r w:rsidRPr="006E6868">
        <w:rPr>
          <w:rFonts w:ascii="宋体" w:eastAsia="宋体" w:hAnsi="宋体" w:cs="宋体" w:hint="eastAsia"/>
          <w:color w:val="000000"/>
          <w:kern w:val="0"/>
          <w:szCs w:val="21"/>
        </w:rPr>
        <w:t>月</w:t>
      </w:r>
      <w:r w:rsidRPr="006E6868">
        <w:rPr>
          <w:rFonts w:ascii="Times New Roman" w:eastAsia="宋体" w:hAnsi="Times New Roman" w:cs="Times New Roman" w:hint="eastAsia"/>
          <w:color w:val="000000"/>
          <w:kern w:val="0"/>
          <w:szCs w:val="21"/>
        </w:rPr>
        <w:t>17</w:t>
      </w:r>
      <w:r w:rsidRPr="006E6868">
        <w:rPr>
          <w:rFonts w:ascii="宋体" w:eastAsia="宋体" w:hAnsi="宋体" w:cs="宋体" w:hint="eastAsia"/>
          <w:color w:val="000000"/>
          <w:kern w:val="0"/>
          <w:szCs w:val="21"/>
        </w:rPr>
        <w:t>日，青岛市恒顺电气股份有限公司（以下简称恒顺电气）董事长贾某某向福建永福工程顾问有限公司（以下简称永福顾问）董事长季某某提出收购永福顾问的意向和动议。</w:t>
      </w:r>
      <w:r w:rsidRPr="006E6868">
        <w:rPr>
          <w:rFonts w:ascii="Times New Roman" w:eastAsia="宋体" w:hAnsi="Times New Roman" w:cs="Times New Roman" w:hint="eastAsia"/>
          <w:color w:val="000000"/>
          <w:kern w:val="0"/>
          <w:szCs w:val="21"/>
        </w:rPr>
        <w:t>7</w:t>
      </w:r>
      <w:r w:rsidRPr="006E6868">
        <w:rPr>
          <w:rFonts w:ascii="宋体" w:eastAsia="宋体" w:hAnsi="宋体" w:cs="宋体" w:hint="eastAsia"/>
          <w:color w:val="000000"/>
          <w:kern w:val="0"/>
          <w:szCs w:val="21"/>
        </w:rPr>
        <w:t>月</w:t>
      </w:r>
      <w:r w:rsidRPr="006E6868">
        <w:rPr>
          <w:rFonts w:ascii="Times New Roman" w:eastAsia="宋体" w:hAnsi="Times New Roman" w:cs="Times New Roman" w:hint="eastAsia"/>
          <w:color w:val="000000"/>
          <w:kern w:val="0"/>
          <w:szCs w:val="21"/>
        </w:rPr>
        <w:t>15</w:t>
      </w:r>
      <w:r w:rsidRPr="006E6868">
        <w:rPr>
          <w:rFonts w:ascii="宋体" w:eastAsia="宋体" w:hAnsi="宋体" w:cs="宋体" w:hint="eastAsia"/>
          <w:color w:val="000000"/>
          <w:kern w:val="0"/>
          <w:szCs w:val="21"/>
        </w:rPr>
        <w:t>日，恒顺电气、永福顾问正式商谈收购永福顾问事宜。</w:t>
      </w:r>
      <w:r w:rsidRPr="006E6868">
        <w:rPr>
          <w:rFonts w:ascii="Times New Roman" w:eastAsia="宋体" w:hAnsi="Times New Roman" w:cs="Times New Roman" w:hint="eastAsia"/>
          <w:color w:val="000000"/>
          <w:kern w:val="0"/>
          <w:szCs w:val="21"/>
        </w:rPr>
        <w:t>8</w:t>
      </w:r>
      <w:r w:rsidRPr="006E6868">
        <w:rPr>
          <w:rFonts w:ascii="宋体" w:eastAsia="宋体" w:hAnsi="宋体" w:cs="宋体" w:hint="eastAsia"/>
          <w:color w:val="000000"/>
          <w:kern w:val="0"/>
          <w:szCs w:val="21"/>
        </w:rPr>
        <w:t>月</w:t>
      </w:r>
      <w:r w:rsidRPr="006E6868">
        <w:rPr>
          <w:rFonts w:ascii="Times New Roman" w:eastAsia="宋体" w:hAnsi="Times New Roman" w:cs="Times New Roman" w:hint="eastAsia"/>
          <w:color w:val="000000"/>
          <w:kern w:val="0"/>
          <w:szCs w:val="21"/>
        </w:rPr>
        <w:t>1</w:t>
      </w:r>
      <w:r w:rsidRPr="006E6868">
        <w:rPr>
          <w:rFonts w:ascii="宋体" w:eastAsia="宋体" w:hAnsi="宋体" w:cs="宋体" w:hint="eastAsia"/>
          <w:color w:val="000000"/>
          <w:kern w:val="0"/>
          <w:szCs w:val="21"/>
        </w:rPr>
        <w:t>日恒顺电气公告正筹划重大资产重组项目并停牌。贾某某、季某某等人为上述事项的知情人。</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二、杨君知悉相关信息</w:t>
      </w:r>
      <w:proofErr w:type="gramStart"/>
      <w:r w:rsidRPr="006E6868">
        <w:rPr>
          <w:rFonts w:ascii="宋体" w:eastAsia="宋体" w:hAnsi="宋体" w:cs="宋体" w:hint="eastAsia"/>
          <w:color w:val="000000"/>
          <w:kern w:val="0"/>
          <w:szCs w:val="21"/>
        </w:rPr>
        <w:t>并交易</w:t>
      </w:r>
      <w:proofErr w:type="gramEnd"/>
      <w:r w:rsidRPr="006E6868">
        <w:rPr>
          <w:rFonts w:ascii="宋体" w:eastAsia="宋体" w:hAnsi="宋体" w:cs="宋体" w:hint="eastAsia"/>
          <w:color w:val="000000"/>
          <w:kern w:val="0"/>
          <w:szCs w:val="21"/>
        </w:rPr>
        <w:t>“恒顺电气”股票</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2012年</w:t>
      </w:r>
      <w:r w:rsidRPr="006E6868">
        <w:rPr>
          <w:rFonts w:ascii="Times New Roman" w:eastAsia="宋体" w:hAnsi="Times New Roman" w:cs="Times New Roman" w:hint="eastAsia"/>
          <w:color w:val="000000"/>
          <w:kern w:val="0"/>
          <w:szCs w:val="21"/>
        </w:rPr>
        <w:t>6</w:t>
      </w:r>
      <w:r w:rsidRPr="006E6868">
        <w:rPr>
          <w:rFonts w:ascii="宋体" w:eastAsia="宋体" w:hAnsi="宋体" w:cs="宋体" w:hint="eastAsia"/>
          <w:color w:val="000000"/>
          <w:kern w:val="0"/>
          <w:szCs w:val="21"/>
        </w:rPr>
        <w:t>月，贾某某请杨君联系青岛地铁公司的负责人洽谈业务。</w:t>
      </w:r>
      <w:r w:rsidRPr="006E6868">
        <w:rPr>
          <w:rFonts w:ascii="Times New Roman" w:eastAsia="宋体" w:hAnsi="Times New Roman" w:cs="Times New Roman" w:hint="eastAsia"/>
          <w:color w:val="000000"/>
          <w:kern w:val="0"/>
          <w:szCs w:val="21"/>
        </w:rPr>
        <w:t>6</w:t>
      </w:r>
      <w:r w:rsidRPr="006E6868">
        <w:rPr>
          <w:rFonts w:ascii="宋体" w:eastAsia="宋体" w:hAnsi="宋体" w:cs="宋体" w:hint="eastAsia"/>
          <w:color w:val="000000"/>
          <w:kern w:val="0"/>
          <w:szCs w:val="21"/>
        </w:rPr>
        <w:t>月</w:t>
      </w:r>
      <w:r w:rsidRPr="006E6868">
        <w:rPr>
          <w:rFonts w:ascii="Times New Roman" w:eastAsia="宋体" w:hAnsi="Times New Roman" w:cs="Times New Roman" w:hint="eastAsia"/>
          <w:color w:val="000000"/>
          <w:kern w:val="0"/>
          <w:szCs w:val="21"/>
        </w:rPr>
        <w:t>20</w:t>
      </w:r>
      <w:r w:rsidRPr="006E6868">
        <w:rPr>
          <w:rFonts w:ascii="宋体" w:eastAsia="宋体" w:hAnsi="宋体" w:cs="宋体" w:hint="eastAsia"/>
          <w:color w:val="000000"/>
          <w:kern w:val="0"/>
          <w:szCs w:val="21"/>
        </w:rPr>
        <w:t>日贾某某约请该负责人用餐，杨君作陪。在用餐过程中，杨君听到贾某某谈及恒顺电气与永福顾问正在商谈并购等业务信息。在知悉上述信息前，杨君账户并未</w:t>
      </w:r>
      <w:proofErr w:type="gramStart"/>
      <w:r w:rsidRPr="006E6868">
        <w:rPr>
          <w:rFonts w:ascii="宋体" w:eastAsia="宋体" w:hAnsi="宋体" w:cs="宋体" w:hint="eastAsia"/>
          <w:color w:val="000000"/>
          <w:kern w:val="0"/>
          <w:szCs w:val="21"/>
        </w:rPr>
        <w:t>交易过恒顺</w:t>
      </w:r>
      <w:proofErr w:type="gramEnd"/>
      <w:r w:rsidRPr="006E6868">
        <w:rPr>
          <w:rFonts w:ascii="宋体" w:eastAsia="宋体" w:hAnsi="宋体" w:cs="宋体" w:hint="eastAsia"/>
          <w:color w:val="000000"/>
          <w:kern w:val="0"/>
          <w:szCs w:val="21"/>
        </w:rPr>
        <w:t>电气股票。其后，</w:t>
      </w:r>
      <w:r w:rsidRPr="006E6868">
        <w:rPr>
          <w:rFonts w:ascii="Times New Roman" w:eastAsia="宋体" w:hAnsi="Times New Roman" w:cs="Times New Roman" w:hint="eastAsia"/>
          <w:color w:val="000000"/>
          <w:kern w:val="0"/>
          <w:szCs w:val="21"/>
        </w:rPr>
        <w:t>2012</w:t>
      </w:r>
      <w:r w:rsidRPr="006E6868">
        <w:rPr>
          <w:rFonts w:ascii="宋体" w:eastAsia="宋体" w:hAnsi="宋体" w:cs="宋体" w:hint="eastAsia"/>
          <w:color w:val="000000"/>
          <w:kern w:val="0"/>
          <w:szCs w:val="21"/>
        </w:rPr>
        <w:t>年</w:t>
      </w:r>
      <w:r w:rsidRPr="006E6868">
        <w:rPr>
          <w:rFonts w:ascii="Times New Roman" w:eastAsia="宋体" w:hAnsi="Times New Roman" w:cs="Times New Roman" w:hint="eastAsia"/>
          <w:color w:val="000000"/>
          <w:kern w:val="0"/>
          <w:szCs w:val="21"/>
        </w:rPr>
        <w:t>6</w:t>
      </w:r>
      <w:r w:rsidRPr="006E6868">
        <w:rPr>
          <w:rFonts w:ascii="宋体" w:eastAsia="宋体" w:hAnsi="宋体" w:cs="宋体" w:hint="eastAsia"/>
          <w:color w:val="000000"/>
          <w:kern w:val="0"/>
          <w:szCs w:val="21"/>
        </w:rPr>
        <w:t>月</w:t>
      </w:r>
      <w:r w:rsidRPr="006E6868">
        <w:rPr>
          <w:rFonts w:ascii="Times New Roman" w:eastAsia="宋体" w:hAnsi="Times New Roman" w:cs="Times New Roman" w:hint="eastAsia"/>
          <w:color w:val="000000"/>
          <w:kern w:val="0"/>
          <w:szCs w:val="21"/>
        </w:rPr>
        <w:t>26</w:t>
      </w:r>
      <w:r w:rsidRPr="006E6868">
        <w:rPr>
          <w:rFonts w:ascii="宋体" w:eastAsia="宋体" w:hAnsi="宋体" w:cs="宋体" w:hint="eastAsia"/>
          <w:color w:val="000000"/>
          <w:kern w:val="0"/>
          <w:szCs w:val="21"/>
        </w:rPr>
        <w:t>日至</w:t>
      </w:r>
      <w:r w:rsidRPr="006E6868">
        <w:rPr>
          <w:rFonts w:ascii="Times New Roman" w:eastAsia="宋体" w:hAnsi="Times New Roman" w:cs="Times New Roman" w:hint="eastAsia"/>
          <w:color w:val="000000"/>
          <w:kern w:val="0"/>
          <w:szCs w:val="21"/>
        </w:rPr>
        <w:t>7</w:t>
      </w:r>
      <w:r w:rsidRPr="006E6868">
        <w:rPr>
          <w:rFonts w:ascii="宋体" w:eastAsia="宋体" w:hAnsi="宋体" w:cs="宋体" w:hint="eastAsia"/>
          <w:color w:val="000000"/>
          <w:kern w:val="0"/>
          <w:szCs w:val="21"/>
        </w:rPr>
        <w:t>月</w:t>
      </w:r>
      <w:r w:rsidRPr="006E6868">
        <w:rPr>
          <w:rFonts w:ascii="Times New Roman" w:eastAsia="宋体" w:hAnsi="Times New Roman" w:cs="Times New Roman" w:hint="eastAsia"/>
          <w:color w:val="000000"/>
          <w:kern w:val="0"/>
          <w:szCs w:val="21"/>
        </w:rPr>
        <w:t>9</w:t>
      </w:r>
      <w:r w:rsidRPr="006E6868">
        <w:rPr>
          <w:rFonts w:ascii="宋体" w:eastAsia="宋体" w:hAnsi="宋体" w:cs="宋体" w:hint="eastAsia"/>
          <w:color w:val="000000"/>
          <w:kern w:val="0"/>
          <w:szCs w:val="21"/>
        </w:rPr>
        <w:t>日，杨君利用其本人账户，共买入恒顺电气股票</w:t>
      </w:r>
      <w:r w:rsidRPr="006E6868">
        <w:rPr>
          <w:rFonts w:ascii="Times New Roman" w:eastAsia="宋体" w:hAnsi="Times New Roman" w:cs="Times New Roman" w:hint="eastAsia"/>
          <w:color w:val="000000"/>
          <w:kern w:val="0"/>
          <w:szCs w:val="21"/>
        </w:rPr>
        <w:t>147,983</w:t>
      </w:r>
      <w:r w:rsidRPr="006E6868">
        <w:rPr>
          <w:rFonts w:ascii="宋体" w:eastAsia="宋体" w:hAnsi="宋体" w:cs="宋体" w:hint="eastAsia"/>
          <w:color w:val="000000"/>
          <w:kern w:val="0"/>
          <w:szCs w:val="21"/>
        </w:rPr>
        <w:t>股。</w:t>
      </w:r>
      <w:r w:rsidRPr="006E6868">
        <w:rPr>
          <w:rFonts w:ascii="Times New Roman" w:eastAsia="宋体" w:hAnsi="Times New Roman" w:cs="Times New Roman" w:hint="eastAsia"/>
          <w:color w:val="000000"/>
          <w:kern w:val="0"/>
          <w:szCs w:val="21"/>
        </w:rPr>
        <w:t>2012</w:t>
      </w:r>
      <w:r w:rsidRPr="006E6868">
        <w:rPr>
          <w:rFonts w:ascii="宋体" w:eastAsia="宋体" w:hAnsi="宋体" w:cs="宋体" w:hint="eastAsia"/>
          <w:color w:val="000000"/>
          <w:kern w:val="0"/>
          <w:szCs w:val="21"/>
        </w:rPr>
        <w:t>年</w:t>
      </w:r>
      <w:r w:rsidRPr="006E6868">
        <w:rPr>
          <w:rFonts w:ascii="Times New Roman" w:eastAsia="宋体" w:hAnsi="Times New Roman" w:cs="Times New Roman" w:hint="eastAsia"/>
          <w:color w:val="000000"/>
          <w:kern w:val="0"/>
          <w:szCs w:val="21"/>
        </w:rPr>
        <w:t>11</w:t>
      </w:r>
      <w:r w:rsidRPr="006E6868">
        <w:rPr>
          <w:rFonts w:ascii="宋体" w:eastAsia="宋体" w:hAnsi="宋体" w:cs="宋体" w:hint="eastAsia"/>
          <w:color w:val="000000"/>
          <w:kern w:val="0"/>
          <w:szCs w:val="21"/>
        </w:rPr>
        <w:t>月</w:t>
      </w:r>
      <w:r w:rsidRPr="006E6868">
        <w:rPr>
          <w:rFonts w:ascii="Times New Roman" w:eastAsia="宋体" w:hAnsi="Times New Roman" w:cs="Times New Roman" w:hint="eastAsia"/>
          <w:color w:val="000000"/>
          <w:kern w:val="0"/>
          <w:szCs w:val="21"/>
        </w:rPr>
        <w:t>28</w:t>
      </w:r>
      <w:r w:rsidRPr="006E6868">
        <w:rPr>
          <w:rFonts w:ascii="宋体" w:eastAsia="宋体" w:hAnsi="宋体" w:cs="宋体" w:hint="eastAsia"/>
          <w:color w:val="000000"/>
          <w:kern w:val="0"/>
          <w:szCs w:val="21"/>
        </w:rPr>
        <w:t>日至</w:t>
      </w:r>
      <w:r w:rsidRPr="006E6868">
        <w:rPr>
          <w:rFonts w:ascii="Times New Roman" w:eastAsia="宋体" w:hAnsi="Times New Roman" w:cs="Times New Roman" w:hint="eastAsia"/>
          <w:color w:val="000000"/>
          <w:kern w:val="0"/>
          <w:szCs w:val="21"/>
        </w:rPr>
        <w:t>12</w:t>
      </w:r>
      <w:r w:rsidRPr="006E6868">
        <w:rPr>
          <w:rFonts w:ascii="宋体" w:eastAsia="宋体" w:hAnsi="宋体" w:cs="宋体" w:hint="eastAsia"/>
          <w:color w:val="000000"/>
          <w:kern w:val="0"/>
          <w:szCs w:val="21"/>
        </w:rPr>
        <w:t>月</w:t>
      </w:r>
      <w:r w:rsidRPr="006E6868">
        <w:rPr>
          <w:rFonts w:ascii="Times New Roman" w:eastAsia="宋体" w:hAnsi="Times New Roman" w:cs="Times New Roman" w:hint="eastAsia"/>
          <w:color w:val="000000"/>
          <w:kern w:val="0"/>
          <w:szCs w:val="21"/>
        </w:rPr>
        <w:t>13</w:t>
      </w:r>
      <w:r w:rsidRPr="006E6868">
        <w:rPr>
          <w:rFonts w:ascii="宋体" w:eastAsia="宋体" w:hAnsi="宋体" w:cs="宋体" w:hint="eastAsia"/>
          <w:color w:val="000000"/>
          <w:kern w:val="0"/>
          <w:szCs w:val="21"/>
        </w:rPr>
        <w:t>日，卖出</w:t>
      </w:r>
      <w:r w:rsidRPr="006E6868">
        <w:rPr>
          <w:rFonts w:ascii="Times New Roman" w:eastAsia="宋体" w:hAnsi="Times New Roman" w:cs="Times New Roman" w:hint="eastAsia"/>
          <w:color w:val="000000"/>
          <w:kern w:val="0"/>
          <w:szCs w:val="21"/>
        </w:rPr>
        <w:t>24,983</w:t>
      </w:r>
      <w:r w:rsidRPr="006E6868">
        <w:rPr>
          <w:rFonts w:ascii="宋体" w:eastAsia="宋体" w:hAnsi="宋体" w:cs="宋体" w:hint="eastAsia"/>
          <w:color w:val="000000"/>
          <w:kern w:val="0"/>
          <w:szCs w:val="21"/>
        </w:rPr>
        <w:t>股，未盈利。</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杨君对其账户交易异常的情况并无合理解释：其一，杨君知悉前述信息后，杨君账户</w:t>
      </w:r>
      <w:proofErr w:type="gramStart"/>
      <w:r w:rsidRPr="006E6868">
        <w:rPr>
          <w:rFonts w:ascii="宋体" w:eastAsia="宋体" w:hAnsi="宋体" w:cs="宋体" w:hint="eastAsia"/>
          <w:color w:val="000000"/>
          <w:kern w:val="0"/>
          <w:szCs w:val="21"/>
        </w:rPr>
        <w:t>只交易</w:t>
      </w:r>
      <w:proofErr w:type="gramEnd"/>
      <w:r w:rsidRPr="006E6868">
        <w:rPr>
          <w:rFonts w:ascii="宋体" w:eastAsia="宋体" w:hAnsi="宋体" w:cs="宋体" w:hint="eastAsia"/>
          <w:color w:val="000000"/>
          <w:kern w:val="0"/>
          <w:szCs w:val="21"/>
        </w:rPr>
        <w:t>了恒顺电气股票和常山股份股票。其中常山股份股票为亏损卖出，卖出常山股份股票的资金用于买入恒顺电气股票；其二，“杨君”账户开户以来交易的</w:t>
      </w:r>
      <w:r w:rsidRPr="006E6868">
        <w:rPr>
          <w:rFonts w:ascii="Times New Roman" w:eastAsia="宋体" w:hAnsi="Times New Roman" w:cs="Times New Roman" w:hint="eastAsia"/>
          <w:color w:val="000000"/>
          <w:kern w:val="0"/>
          <w:szCs w:val="21"/>
        </w:rPr>
        <w:t>14</w:t>
      </w:r>
      <w:r w:rsidRPr="006E6868">
        <w:rPr>
          <w:rFonts w:ascii="宋体" w:eastAsia="宋体" w:hAnsi="宋体" w:cs="宋体" w:hint="eastAsia"/>
          <w:color w:val="000000"/>
          <w:kern w:val="0"/>
          <w:szCs w:val="21"/>
        </w:rPr>
        <w:t>只股票中，单只股票买入金额一般不超过</w:t>
      </w:r>
      <w:r w:rsidRPr="006E6868">
        <w:rPr>
          <w:rFonts w:ascii="Times New Roman" w:eastAsia="宋体" w:hAnsi="Times New Roman" w:cs="Times New Roman" w:hint="eastAsia"/>
          <w:color w:val="000000"/>
          <w:kern w:val="0"/>
          <w:szCs w:val="21"/>
        </w:rPr>
        <w:t>20</w:t>
      </w:r>
      <w:r w:rsidRPr="006E6868">
        <w:rPr>
          <w:rFonts w:ascii="宋体" w:eastAsia="宋体" w:hAnsi="宋体" w:cs="宋体" w:hint="eastAsia"/>
          <w:color w:val="000000"/>
          <w:kern w:val="0"/>
          <w:szCs w:val="21"/>
        </w:rPr>
        <w:t>万元，单只股票买入金额超过</w:t>
      </w:r>
      <w:r w:rsidRPr="006E6868">
        <w:rPr>
          <w:rFonts w:ascii="Times New Roman" w:eastAsia="宋体" w:hAnsi="Times New Roman" w:cs="Times New Roman" w:hint="eastAsia"/>
          <w:color w:val="000000"/>
          <w:kern w:val="0"/>
          <w:szCs w:val="21"/>
        </w:rPr>
        <w:t>100</w:t>
      </w:r>
      <w:r w:rsidRPr="006E6868">
        <w:rPr>
          <w:rFonts w:ascii="宋体" w:eastAsia="宋体" w:hAnsi="宋体" w:cs="宋体" w:hint="eastAsia"/>
          <w:color w:val="000000"/>
          <w:kern w:val="0"/>
          <w:szCs w:val="21"/>
        </w:rPr>
        <w:t>万元的只有</w:t>
      </w:r>
      <w:r w:rsidRPr="006E6868">
        <w:rPr>
          <w:rFonts w:ascii="Times New Roman" w:eastAsia="宋体" w:hAnsi="Times New Roman" w:cs="Times New Roman" w:hint="eastAsia"/>
          <w:color w:val="000000"/>
          <w:kern w:val="0"/>
          <w:szCs w:val="21"/>
        </w:rPr>
        <w:t>4</w:t>
      </w:r>
      <w:r w:rsidRPr="006E6868">
        <w:rPr>
          <w:rFonts w:ascii="宋体" w:eastAsia="宋体" w:hAnsi="宋体" w:cs="宋体" w:hint="eastAsia"/>
          <w:color w:val="000000"/>
          <w:kern w:val="0"/>
          <w:szCs w:val="21"/>
        </w:rPr>
        <w:t>只股票，其中买入恒顺电气股票的资金量最多；其三，“杨君”账户在</w:t>
      </w:r>
      <w:r w:rsidRPr="006E6868">
        <w:rPr>
          <w:rFonts w:ascii="Times New Roman" w:eastAsia="宋体" w:hAnsi="Times New Roman" w:cs="Times New Roman" w:hint="eastAsia"/>
          <w:color w:val="000000"/>
          <w:kern w:val="0"/>
          <w:szCs w:val="21"/>
        </w:rPr>
        <w:t>2012</w:t>
      </w:r>
      <w:r w:rsidRPr="006E6868">
        <w:rPr>
          <w:rFonts w:ascii="宋体" w:eastAsia="宋体" w:hAnsi="宋体" w:cs="宋体" w:hint="eastAsia"/>
          <w:color w:val="000000"/>
          <w:kern w:val="0"/>
          <w:szCs w:val="21"/>
        </w:rPr>
        <w:t>年</w:t>
      </w:r>
      <w:r w:rsidRPr="006E6868">
        <w:rPr>
          <w:rFonts w:ascii="Times New Roman" w:eastAsia="宋体" w:hAnsi="Times New Roman" w:cs="Times New Roman" w:hint="eastAsia"/>
          <w:color w:val="000000"/>
          <w:kern w:val="0"/>
          <w:szCs w:val="21"/>
        </w:rPr>
        <w:t>6</w:t>
      </w:r>
      <w:r w:rsidRPr="006E6868">
        <w:rPr>
          <w:rFonts w:ascii="宋体" w:eastAsia="宋体" w:hAnsi="宋体" w:cs="宋体" w:hint="eastAsia"/>
          <w:color w:val="000000"/>
          <w:kern w:val="0"/>
          <w:szCs w:val="21"/>
        </w:rPr>
        <w:t>月下旬之前未</w:t>
      </w:r>
      <w:proofErr w:type="gramStart"/>
      <w:r w:rsidRPr="006E6868">
        <w:rPr>
          <w:rFonts w:ascii="宋体" w:eastAsia="宋体" w:hAnsi="宋体" w:cs="宋体" w:hint="eastAsia"/>
          <w:color w:val="000000"/>
          <w:kern w:val="0"/>
          <w:szCs w:val="21"/>
        </w:rPr>
        <w:t>交易过恒顺</w:t>
      </w:r>
      <w:proofErr w:type="gramEnd"/>
      <w:r w:rsidRPr="006E6868">
        <w:rPr>
          <w:rFonts w:ascii="宋体" w:eastAsia="宋体" w:hAnsi="宋体" w:cs="宋体" w:hint="eastAsia"/>
          <w:color w:val="000000"/>
          <w:kern w:val="0"/>
          <w:szCs w:val="21"/>
        </w:rPr>
        <w:t>电气股票，</w:t>
      </w:r>
      <w:r w:rsidRPr="006E6868">
        <w:rPr>
          <w:rFonts w:ascii="Times New Roman" w:eastAsia="宋体" w:hAnsi="Times New Roman" w:cs="Times New Roman" w:hint="eastAsia"/>
          <w:color w:val="000000"/>
          <w:kern w:val="0"/>
          <w:szCs w:val="21"/>
        </w:rPr>
        <w:t>2012</w:t>
      </w:r>
      <w:r w:rsidRPr="006E6868">
        <w:rPr>
          <w:rFonts w:ascii="宋体" w:eastAsia="宋体" w:hAnsi="宋体" w:cs="宋体" w:hint="eastAsia"/>
          <w:color w:val="000000"/>
          <w:kern w:val="0"/>
          <w:szCs w:val="21"/>
        </w:rPr>
        <w:t>年</w:t>
      </w:r>
      <w:r w:rsidRPr="006E6868">
        <w:rPr>
          <w:rFonts w:ascii="Times New Roman" w:eastAsia="宋体" w:hAnsi="Times New Roman" w:cs="Times New Roman" w:hint="eastAsia"/>
          <w:color w:val="000000"/>
          <w:kern w:val="0"/>
          <w:szCs w:val="21"/>
        </w:rPr>
        <w:t>6</w:t>
      </w:r>
      <w:r w:rsidRPr="006E6868">
        <w:rPr>
          <w:rFonts w:ascii="宋体" w:eastAsia="宋体" w:hAnsi="宋体" w:cs="宋体" w:hint="eastAsia"/>
          <w:color w:val="000000"/>
          <w:kern w:val="0"/>
          <w:szCs w:val="21"/>
        </w:rPr>
        <w:t>月下旬至</w:t>
      </w:r>
      <w:r w:rsidRPr="006E6868">
        <w:rPr>
          <w:rFonts w:ascii="Times New Roman" w:eastAsia="宋体" w:hAnsi="Times New Roman" w:cs="Times New Roman" w:hint="eastAsia"/>
          <w:color w:val="000000"/>
          <w:kern w:val="0"/>
          <w:szCs w:val="21"/>
        </w:rPr>
        <w:t>7</w:t>
      </w:r>
      <w:r w:rsidRPr="006E6868">
        <w:rPr>
          <w:rFonts w:ascii="宋体" w:eastAsia="宋体" w:hAnsi="宋体" w:cs="宋体" w:hint="eastAsia"/>
          <w:color w:val="000000"/>
          <w:kern w:val="0"/>
          <w:szCs w:val="21"/>
        </w:rPr>
        <w:t>月下旬，“杨君”账户集中买入恒顺电气股票；其四，杨君三方存管银行账户的理财产品到期后即把资金转入资金账户，主要用于买入恒顺电气股票。</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lastRenderedPageBreak/>
        <w:t>以上事实有相关证券账户资料、银行账户资料、重组停牌公告和当事人询问笔录等证据证明，足以认定。</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恒顺电气收购永福顾问事项的信息，在公开前属于《证券法》第七十五条规定的内幕信息。杨君知悉上述信息并在该信息公开前买卖恒顺电气股票的行为，违反了《证券法》第七十三条、第七十六条的规定，构成《证券法》第二百零二条所述内幕交易行为。</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根据当事人违法行为的事实、性质、情节与社会危害程度，依据《证券法》第二百零二条的规定，我会决定：对杨君处以</w:t>
      </w:r>
      <w:r w:rsidRPr="006E6868">
        <w:rPr>
          <w:rFonts w:ascii="Times New Roman" w:eastAsia="宋体" w:hAnsi="Times New Roman" w:cs="Times New Roman" w:hint="eastAsia"/>
          <w:color w:val="000000"/>
          <w:kern w:val="0"/>
          <w:szCs w:val="21"/>
        </w:rPr>
        <w:t>10</w:t>
      </w:r>
      <w:r w:rsidRPr="006E6868">
        <w:rPr>
          <w:rFonts w:ascii="宋体" w:eastAsia="宋体" w:hAnsi="宋体" w:cs="宋体" w:hint="eastAsia"/>
          <w:color w:val="000000"/>
          <w:kern w:val="0"/>
          <w:szCs w:val="21"/>
        </w:rPr>
        <w:t>万元罚款。</w:t>
      </w:r>
    </w:p>
    <w:p w:rsidR="006E6868" w:rsidRPr="006E6868" w:rsidRDefault="006E6868" w:rsidP="006E686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6E6868">
        <w:rPr>
          <w:rFonts w:ascii="Times New Roman" w:eastAsia="楷体" w:hAnsi="Times New Roman" w:cs="Times New Roman"/>
          <w:color w:val="000000"/>
          <w:kern w:val="0"/>
          <w:szCs w:val="21"/>
        </w:rPr>
        <w:t>上述当事人应自收到本处罚决定书之日起</w:t>
      </w:r>
      <w:r w:rsidRPr="006E6868">
        <w:rPr>
          <w:rFonts w:ascii="Times New Roman" w:eastAsia="楷体" w:hAnsi="Times New Roman" w:cs="Times New Roman"/>
          <w:color w:val="000000"/>
          <w:kern w:val="0"/>
          <w:szCs w:val="21"/>
        </w:rPr>
        <w:t>15</w:t>
      </w:r>
      <w:r w:rsidRPr="006E6868">
        <w:rPr>
          <w:rFonts w:ascii="宋体" w:eastAsia="宋体" w:hAnsi="宋体" w:cs="Times New Roman"/>
          <w:color w:val="000000"/>
          <w:kern w:val="0"/>
          <w:szCs w:val="21"/>
        </w:rPr>
        <w:t>日内，将罚款汇交中国证券监督管理委员会（开户银行：中信银行总行营业部，账号：</w:t>
      </w:r>
      <w:r w:rsidRPr="006E6868">
        <w:rPr>
          <w:rFonts w:ascii="Times New Roman" w:eastAsia="楷体" w:hAnsi="Times New Roman" w:cs="Times New Roman"/>
          <w:color w:val="000000"/>
          <w:kern w:val="0"/>
          <w:szCs w:val="21"/>
        </w:rPr>
        <w:t>7111010189800000162</w:t>
      </w:r>
      <w:r w:rsidRPr="006E6868">
        <w:rPr>
          <w:rFonts w:ascii="宋体" w:eastAsia="宋体" w:hAnsi="宋体" w:cs="Times New Roman"/>
          <w:color w:val="000000"/>
          <w:kern w:val="0"/>
          <w:szCs w:val="21"/>
        </w:rPr>
        <w:t>，由该行直接上缴国库），并将注有当事人名称的付款凭证复印件送中国证券监督管理委员会稽查局备案。当事人如果对本处罚决定不服，可在收到本处罚决定书之日起</w:t>
      </w:r>
      <w:r w:rsidRPr="006E6868">
        <w:rPr>
          <w:rFonts w:ascii="Times New Roman" w:eastAsia="楷体" w:hAnsi="Times New Roman" w:cs="Times New Roman"/>
          <w:color w:val="000000"/>
          <w:kern w:val="0"/>
          <w:szCs w:val="21"/>
        </w:rPr>
        <w:t>60</w:t>
      </w:r>
      <w:r w:rsidRPr="006E6868">
        <w:rPr>
          <w:rFonts w:ascii="宋体" w:eastAsia="宋体" w:hAnsi="宋体" w:cs="Times New Roman"/>
          <w:color w:val="000000"/>
          <w:kern w:val="0"/>
          <w:szCs w:val="21"/>
        </w:rPr>
        <w:t>日内向中国证券监督管理委员会申请行政复议，也可在收到本处罚决定书之日起</w:t>
      </w:r>
      <w:r w:rsidRPr="006E6868">
        <w:rPr>
          <w:rFonts w:ascii="宋体" w:eastAsia="宋体" w:hAnsi="宋体" w:cs="宋体" w:hint="eastAsia"/>
          <w:color w:val="000000"/>
          <w:kern w:val="0"/>
          <w:szCs w:val="21"/>
        </w:rPr>
        <w:t>6</w:t>
      </w:r>
      <w:r w:rsidRPr="006E6868">
        <w:rPr>
          <w:rFonts w:ascii="Times New Roman" w:eastAsia="楷体" w:hAnsi="Times New Roman" w:cs="Times New Roman"/>
          <w:color w:val="000000"/>
          <w:kern w:val="0"/>
          <w:szCs w:val="21"/>
        </w:rPr>
        <w:t>个月内直接向有管辖权的人民法院提起行政诉讼。复议和诉讼期间，上述决定不停止执行。</w:t>
      </w:r>
    </w:p>
    <w:p w:rsidR="006E6868" w:rsidRPr="006E6868" w:rsidRDefault="006E6868" w:rsidP="006E6868">
      <w:pPr>
        <w:widowControl/>
        <w:shd w:val="clear" w:color="auto" w:fill="FFFFFF"/>
        <w:spacing w:line="360" w:lineRule="atLeast"/>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 </w:t>
      </w:r>
    </w:p>
    <w:p w:rsidR="006E6868" w:rsidRPr="006E6868" w:rsidRDefault="006E6868" w:rsidP="006E6868">
      <w:pPr>
        <w:widowControl/>
        <w:shd w:val="clear" w:color="auto" w:fill="FFFFFF"/>
        <w:spacing w:line="360" w:lineRule="atLeast"/>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 </w:t>
      </w:r>
    </w:p>
    <w:p w:rsidR="006E6868" w:rsidRPr="006E6868" w:rsidRDefault="006E6868" w:rsidP="006E6868">
      <w:pPr>
        <w:widowControl/>
        <w:shd w:val="clear" w:color="auto" w:fill="FFFFFF"/>
        <w:spacing w:line="360" w:lineRule="atLeast"/>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 xml:space="preserve">　　　　　　　　　　　　　　　 </w:t>
      </w:r>
    </w:p>
    <w:p w:rsidR="006E6868" w:rsidRPr="006E6868" w:rsidRDefault="006E6868" w:rsidP="006E6868">
      <w:pPr>
        <w:widowControl/>
        <w:shd w:val="clear" w:color="auto" w:fill="FFFFFF"/>
        <w:spacing w:line="360" w:lineRule="atLeast"/>
        <w:jc w:val="left"/>
        <w:rPr>
          <w:rFonts w:ascii="楷体" w:eastAsia="楷体" w:hAnsi="楷体" w:cs="宋体" w:hint="eastAsia"/>
          <w:color w:val="000000"/>
          <w:kern w:val="0"/>
          <w:sz w:val="24"/>
          <w:szCs w:val="24"/>
        </w:rPr>
      </w:pPr>
      <w:r w:rsidRPr="006E6868">
        <w:rPr>
          <w:rFonts w:ascii="Calibri" w:eastAsia="楷体" w:hAnsi="Calibri" w:cs="Calibri"/>
          <w:color w:val="000000"/>
          <w:kern w:val="0"/>
          <w:sz w:val="24"/>
          <w:szCs w:val="24"/>
        </w:rPr>
        <w:t> </w:t>
      </w:r>
    </w:p>
    <w:p w:rsidR="006E6868" w:rsidRPr="006E6868" w:rsidRDefault="006E6868" w:rsidP="006E6868">
      <w:pPr>
        <w:widowControl/>
        <w:shd w:val="clear" w:color="auto" w:fill="FFFFFF"/>
        <w:spacing w:line="360" w:lineRule="atLeast"/>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 xml:space="preserve">　　　　　　　　　　　　　　　　　　　　　　　　　　　　　　　　　　　　　　　　　　　　　　　  中国证监会</w:t>
      </w:r>
    </w:p>
    <w:p w:rsidR="006E6868" w:rsidRPr="006E6868" w:rsidRDefault="006E6868" w:rsidP="006E6868">
      <w:pPr>
        <w:widowControl/>
        <w:shd w:val="clear" w:color="auto" w:fill="FFFFFF"/>
        <w:spacing w:line="360" w:lineRule="atLeast"/>
        <w:jc w:val="left"/>
        <w:rPr>
          <w:rFonts w:ascii="楷体" w:eastAsia="楷体" w:hAnsi="楷体" w:cs="宋体" w:hint="eastAsia"/>
          <w:color w:val="000000"/>
          <w:kern w:val="0"/>
          <w:sz w:val="24"/>
          <w:szCs w:val="24"/>
        </w:rPr>
      </w:pPr>
      <w:r w:rsidRPr="006E6868">
        <w:rPr>
          <w:rFonts w:ascii="宋体" w:eastAsia="宋体" w:hAnsi="宋体" w:cs="宋体" w:hint="eastAsia"/>
          <w:color w:val="000000"/>
          <w:kern w:val="0"/>
          <w:szCs w:val="21"/>
        </w:rPr>
        <w:t xml:space="preserve">　　　　　　　　　　　　　　　　　　　　　　　　　　　　　　　　　　　　　　　　　　　　　　   2015年7月13日</w:t>
      </w:r>
    </w:p>
    <w:p w:rsidR="006E6868" w:rsidRPr="006E6868" w:rsidRDefault="006E6868" w:rsidP="006E6868">
      <w:pPr>
        <w:widowControl/>
        <w:shd w:val="clear" w:color="auto" w:fill="FFFFFF"/>
        <w:spacing w:line="360" w:lineRule="atLeast"/>
        <w:jc w:val="left"/>
        <w:rPr>
          <w:rFonts w:ascii="楷体" w:eastAsia="楷体" w:hAnsi="楷体" w:cs="宋体" w:hint="eastAsia"/>
          <w:color w:val="000000"/>
          <w:kern w:val="0"/>
          <w:sz w:val="24"/>
          <w:szCs w:val="24"/>
        </w:rPr>
      </w:pPr>
      <w:r w:rsidRPr="006E6868">
        <w:rPr>
          <w:rFonts w:ascii="Times New Roman" w:eastAsia="楷体" w:hAnsi="Times New Roman" w:cs="Times New Roman"/>
          <w:color w:val="000000"/>
          <w:kern w:val="0"/>
          <w:szCs w:val="21"/>
        </w:rPr>
        <w:t> </w:t>
      </w:r>
    </w:p>
    <w:p w:rsidR="006E6868" w:rsidRPr="006E6868" w:rsidRDefault="006E6868" w:rsidP="006E686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6E6868">
        <w:rPr>
          <w:rFonts w:ascii="Times New Roman" w:eastAsia="楷体" w:hAnsi="Times New Roman" w:cs="Times New Roman"/>
          <w:color w:val="000000"/>
          <w:kern w:val="0"/>
          <w:szCs w:val="21"/>
        </w:rPr>
        <w:t xml:space="preserve">　</w:t>
      </w:r>
    </w:p>
    <w:p w:rsidR="006E6868" w:rsidRPr="006E6868" w:rsidRDefault="006E6868" w:rsidP="006E686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6E6868" w:rsidRPr="006E6868" w:rsidTr="006E6868">
        <w:trPr>
          <w:tblCellSpacing w:w="15" w:type="dxa"/>
          <w:jc w:val="center"/>
        </w:trPr>
        <w:tc>
          <w:tcPr>
            <w:tcW w:w="900" w:type="dxa"/>
            <w:vAlign w:val="center"/>
            <w:hideMark/>
          </w:tcPr>
          <w:p w:rsidR="006E6868" w:rsidRPr="006E6868" w:rsidRDefault="006E6868" w:rsidP="006E6868">
            <w:pPr>
              <w:widowControl/>
              <w:jc w:val="left"/>
              <w:rPr>
                <w:rFonts w:ascii="宋体" w:eastAsia="宋体" w:hAnsi="宋体" w:cs="宋体" w:hint="eastAsia"/>
                <w:kern w:val="0"/>
                <w:sz w:val="18"/>
                <w:szCs w:val="18"/>
              </w:rPr>
            </w:pPr>
            <w:r w:rsidRPr="006E6868">
              <w:rPr>
                <w:rFonts w:ascii="宋体" w:eastAsia="宋体" w:hAnsi="宋体" w:cs="宋体"/>
                <w:kern w:val="0"/>
                <w:sz w:val="18"/>
                <w:szCs w:val="18"/>
              </w:rPr>
              <w:t> </w:t>
            </w:r>
          </w:p>
        </w:tc>
        <w:tc>
          <w:tcPr>
            <w:tcW w:w="1200" w:type="dxa"/>
            <w:vAlign w:val="center"/>
            <w:hideMark/>
          </w:tcPr>
          <w:p w:rsidR="006E6868" w:rsidRPr="006E6868" w:rsidRDefault="006E6868" w:rsidP="006E6868">
            <w:pPr>
              <w:widowControl/>
              <w:jc w:val="left"/>
              <w:rPr>
                <w:rFonts w:ascii="宋体" w:eastAsia="宋体" w:hAnsi="宋体" w:cs="宋体"/>
                <w:kern w:val="0"/>
                <w:sz w:val="18"/>
                <w:szCs w:val="18"/>
              </w:rPr>
            </w:pPr>
            <w:r w:rsidRPr="006E686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E6868" w:rsidRPr="006E6868" w:rsidRDefault="006E6868" w:rsidP="006E6868">
            <w:pPr>
              <w:widowControl/>
              <w:jc w:val="left"/>
              <w:rPr>
                <w:rFonts w:ascii="宋体" w:eastAsia="宋体" w:hAnsi="宋体" w:cs="宋体"/>
                <w:kern w:val="0"/>
                <w:sz w:val="18"/>
                <w:szCs w:val="18"/>
              </w:rPr>
            </w:pPr>
            <w:r w:rsidRPr="006E686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6E6868" w:rsidRPr="006E6868" w:rsidRDefault="006E6868" w:rsidP="006E6868">
            <w:pPr>
              <w:widowControl/>
              <w:jc w:val="left"/>
              <w:rPr>
                <w:rFonts w:ascii="宋体" w:eastAsia="宋体" w:hAnsi="宋体" w:cs="宋体"/>
                <w:kern w:val="0"/>
                <w:sz w:val="18"/>
                <w:szCs w:val="18"/>
              </w:rPr>
            </w:pPr>
            <w:r w:rsidRPr="006E686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6E6868" w:rsidRPr="006E6868" w:rsidRDefault="006E6868" w:rsidP="006E6868">
      <w:pPr>
        <w:widowControl/>
        <w:jc w:val="center"/>
        <w:rPr>
          <w:rFonts w:ascii="微软雅黑" w:eastAsia="微软雅黑" w:hAnsi="微软雅黑" w:cs="宋体"/>
          <w:color w:val="515151"/>
          <w:kern w:val="0"/>
          <w:sz w:val="18"/>
          <w:szCs w:val="18"/>
        </w:rPr>
      </w:pPr>
      <w:hyperlink r:id="rId11" w:tgtFrame="_blank" w:history="1">
        <w:r w:rsidRPr="006E6868">
          <w:rPr>
            <w:rFonts w:ascii="微软雅黑" w:eastAsia="微软雅黑" w:hAnsi="微软雅黑" w:cs="宋体" w:hint="eastAsia"/>
            <w:color w:val="0000FF"/>
            <w:kern w:val="0"/>
            <w:sz w:val="18"/>
            <w:szCs w:val="18"/>
            <w:u w:val="single"/>
          </w:rPr>
          <w:t>关于我们</w:t>
        </w:r>
      </w:hyperlink>
      <w:r w:rsidRPr="006E6868">
        <w:rPr>
          <w:rFonts w:ascii="微软雅黑" w:eastAsia="微软雅黑" w:hAnsi="微软雅黑" w:cs="宋体" w:hint="eastAsia"/>
          <w:color w:val="515151"/>
          <w:kern w:val="0"/>
          <w:sz w:val="18"/>
          <w:szCs w:val="18"/>
        </w:rPr>
        <w:t> - </w:t>
      </w:r>
      <w:hyperlink r:id="rId12" w:tgtFrame="_blank" w:history="1">
        <w:r w:rsidRPr="006E6868">
          <w:rPr>
            <w:rFonts w:ascii="微软雅黑" w:eastAsia="微软雅黑" w:hAnsi="微软雅黑" w:cs="宋体" w:hint="eastAsia"/>
            <w:color w:val="0000FF"/>
            <w:kern w:val="0"/>
            <w:sz w:val="18"/>
            <w:szCs w:val="18"/>
            <w:u w:val="single"/>
          </w:rPr>
          <w:t>法律声明</w:t>
        </w:r>
      </w:hyperlink>
      <w:r w:rsidRPr="006E6868">
        <w:rPr>
          <w:rFonts w:ascii="微软雅黑" w:eastAsia="微软雅黑" w:hAnsi="微软雅黑" w:cs="宋体" w:hint="eastAsia"/>
          <w:color w:val="515151"/>
          <w:kern w:val="0"/>
          <w:sz w:val="18"/>
          <w:szCs w:val="18"/>
        </w:rPr>
        <w:t> - </w:t>
      </w:r>
      <w:hyperlink r:id="rId13" w:tgtFrame="_blank" w:history="1">
        <w:r w:rsidRPr="006E6868">
          <w:rPr>
            <w:rFonts w:ascii="微软雅黑" w:eastAsia="微软雅黑" w:hAnsi="微软雅黑" w:cs="宋体" w:hint="eastAsia"/>
            <w:color w:val="0000FF"/>
            <w:kern w:val="0"/>
            <w:sz w:val="18"/>
            <w:szCs w:val="18"/>
            <w:u w:val="single"/>
          </w:rPr>
          <w:t>联系我们</w:t>
        </w:r>
      </w:hyperlink>
    </w:p>
    <w:p w:rsidR="006E6868" w:rsidRPr="006E6868" w:rsidRDefault="006E6868" w:rsidP="006E6868">
      <w:pPr>
        <w:widowControl/>
        <w:jc w:val="center"/>
        <w:rPr>
          <w:rFonts w:ascii="微软雅黑" w:eastAsia="微软雅黑" w:hAnsi="微软雅黑" w:cs="宋体" w:hint="eastAsia"/>
          <w:color w:val="515151"/>
          <w:kern w:val="0"/>
          <w:sz w:val="18"/>
          <w:szCs w:val="18"/>
        </w:rPr>
      </w:pPr>
      <w:r w:rsidRPr="006E6868">
        <w:rPr>
          <w:rFonts w:ascii="微软雅黑" w:eastAsia="微软雅黑" w:hAnsi="微软雅黑" w:cs="宋体" w:hint="eastAsia"/>
          <w:color w:val="515151"/>
          <w:kern w:val="0"/>
          <w:sz w:val="18"/>
          <w:szCs w:val="18"/>
        </w:rPr>
        <w:t>版权所有：中国证券监督管理委员会 京ICP备 05035542号</w:t>
      </w:r>
    </w:p>
    <w:p w:rsidR="006E6868" w:rsidRPr="006E6868" w:rsidRDefault="006E6868" w:rsidP="006E6868">
      <w:pPr>
        <w:widowControl/>
        <w:jc w:val="center"/>
        <w:rPr>
          <w:rFonts w:ascii="微软雅黑" w:eastAsia="微软雅黑" w:hAnsi="微软雅黑" w:cs="宋体" w:hint="eastAsia"/>
          <w:color w:val="515151"/>
          <w:kern w:val="0"/>
          <w:sz w:val="18"/>
          <w:szCs w:val="18"/>
        </w:rPr>
      </w:pPr>
      <w:r w:rsidRPr="006E6868">
        <w:rPr>
          <w:rFonts w:ascii="微软雅黑" w:eastAsia="微软雅黑" w:hAnsi="微软雅黑" w:cs="宋体" w:hint="eastAsia"/>
          <w:color w:val="515151"/>
          <w:kern w:val="0"/>
          <w:sz w:val="18"/>
          <w:szCs w:val="18"/>
        </w:rPr>
        <w:t>地址：北京市西城区金融大街19号富凯大厦A座 邮编：100033</w:t>
      </w:r>
    </w:p>
    <w:p w:rsidR="006E6868" w:rsidRPr="006E6868" w:rsidRDefault="006E6868" w:rsidP="006E6868">
      <w:pPr>
        <w:widowControl/>
        <w:jc w:val="center"/>
        <w:rPr>
          <w:rFonts w:ascii="微软雅黑" w:eastAsia="微软雅黑" w:hAnsi="微软雅黑" w:cs="宋体" w:hint="eastAsia"/>
          <w:color w:val="515151"/>
          <w:kern w:val="0"/>
          <w:sz w:val="18"/>
          <w:szCs w:val="18"/>
        </w:rPr>
      </w:pPr>
      <w:r w:rsidRPr="006E6868">
        <w:rPr>
          <w:rFonts w:ascii="微软雅黑" w:eastAsia="微软雅黑" w:hAnsi="微软雅黑" w:cs="宋体" w:hint="eastAsia"/>
          <w:color w:val="515151"/>
          <w:kern w:val="0"/>
          <w:sz w:val="18"/>
          <w:szCs w:val="18"/>
        </w:rPr>
        <w:t>建议使用IE5.5以上浏览器，分辨率1024*768</w:t>
      </w:r>
    </w:p>
    <w:p w:rsidR="00801F9F" w:rsidRPr="006E6868" w:rsidRDefault="00801F9F"/>
    <w:sectPr w:rsidR="00801F9F" w:rsidRPr="006E68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68"/>
    <w:rsid w:val="006E6868"/>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4B4C84-2553-403F-86C6-41A2DA089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E686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6868"/>
    <w:rPr>
      <w:b/>
      <w:bCs/>
    </w:rPr>
  </w:style>
  <w:style w:type="paragraph" w:customStyle="1" w:styleId="p0">
    <w:name w:val="p0"/>
    <w:basedOn w:val="a"/>
    <w:rsid w:val="006E6868"/>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6E686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6E686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5009">
      <w:bodyDiv w:val="1"/>
      <w:marLeft w:val="0"/>
      <w:marRight w:val="0"/>
      <w:marTop w:val="0"/>
      <w:marBottom w:val="0"/>
      <w:divBdr>
        <w:top w:val="none" w:sz="0" w:space="0" w:color="auto"/>
        <w:left w:val="none" w:sz="0" w:space="0" w:color="auto"/>
        <w:bottom w:val="none" w:sz="0" w:space="0" w:color="auto"/>
        <w:right w:val="none" w:sz="0" w:space="0" w:color="auto"/>
      </w:divBdr>
      <w:divsChild>
        <w:div w:id="717170580">
          <w:marLeft w:val="0"/>
          <w:marRight w:val="0"/>
          <w:marTop w:val="150"/>
          <w:marBottom w:val="150"/>
          <w:divBdr>
            <w:top w:val="none" w:sz="0" w:space="0" w:color="auto"/>
            <w:left w:val="none" w:sz="0" w:space="0" w:color="auto"/>
            <w:bottom w:val="none" w:sz="0" w:space="0" w:color="auto"/>
            <w:right w:val="none" w:sz="0" w:space="0" w:color="auto"/>
          </w:divBdr>
        </w:div>
        <w:div w:id="443690946">
          <w:marLeft w:val="0"/>
          <w:marRight w:val="0"/>
          <w:marTop w:val="0"/>
          <w:marBottom w:val="0"/>
          <w:divBdr>
            <w:top w:val="single" w:sz="6" w:space="8" w:color="B5B5B5"/>
            <w:left w:val="single" w:sz="6" w:space="0" w:color="B5B5B5"/>
            <w:bottom w:val="single" w:sz="6" w:space="8" w:color="B5B5B5"/>
            <w:right w:val="single" w:sz="6" w:space="0" w:color="B5B5B5"/>
          </w:divBdr>
          <w:divsChild>
            <w:div w:id="1614553882">
              <w:marLeft w:val="0"/>
              <w:marRight w:val="0"/>
              <w:marTop w:val="0"/>
              <w:marBottom w:val="0"/>
              <w:divBdr>
                <w:top w:val="none" w:sz="0" w:space="0" w:color="auto"/>
                <w:left w:val="none" w:sz="0" w:space="0" w:color="auto"/>
                <w:bottom w:val="none" w:sz="0" w:space="0" w:color="auto"/>
                <w:right w:val="none" w:sz="0" w:space="0" w:color="auto"/>
              </w:divBdr>
            </w:div>
            <w:div w:id="1092748218">
              <w:marLeft w:val="0"/>
              <w:marRight w:val="0"/>
              <w:marTop w:val="0"/>
              <w:marBottom w:val="0"/>
              <w:divBdr>
                <w:top w:val="none" w:sz="0" w:space="0" w:color="auto"/>
                <w:left w:val="none" w:sz="0" w:space="0" w:color="auto"/>
                <w:bottom w:val="none" w:sz="0" w:space="0" w:color="auto"/>
                <w:right w:val="none" w:sz="0" w:space="0" w:color="auto"/>
              </w:divBdr>
            </w:div>
            <w:div w:id="1686399588">
              <w:marLeft w:val="0"/>
              <w:marRight w:val="0"/>
              <w:marTop w:val="120"/>
              <w:marBottom w:val="120"/>
              <w:divBdr>
                <w:top w:val="none" w:sz="0" w:space="0" w:color="auto"/>
                <w:left w:val="none" w:sz="0" w:space="0" w:color="auto"/>
                <w:bottom w:val="none" w:sz="0" w:space="0" w:color="auto"/>
                <w:right w:val="none" w:sz="0" w:space="0" w:color="auto"/>
              </w:divBdr>
            </w:div>
          </w:divsChild>
        </w:div>
        <w:div w:id="1919553347">
          <w:marLeft w:val="0"/>
          <w:marRight w:val="0"/>
          <w:marTop w:val="120"/>
          <w:marBottom w:val="0"/>
          <w:divBdr>
            <w:top w:val="none" w:sz="0" w:space="0" w:color="auto"/>
            <w:left w:val="none" w:sz="0" w:space="0" w:color="auto"/>
            <w:bottom w:val="none" w:sz="0" w:space="0" w:color="auto"/>
            <w:right w:val="none" w:sz="0" w:space="0" w:color="auto"/>
          </w:divBdr>
          <w:divsChild>
            <w:div w:id="885064047">
              <w:marLeft w:val="0"/>
              <w:marRight w:val="0"/>
              <w:marTop w:val="60"/>
              <w:marBottom w:val="0"/>
              <w:divBdr>
                <w:top w:val="none" w:sz="0" w:space="0" w:color="auto"/>
                <w:left w:val="none" w:sz="0" w:space="0" w:color="auto"/>
                <w:bottom w:val="none" w:sz="0" w:space="0" w:color="auto"/>
                <w:right w:val="none" w:sz="0" w:space="0" w:color="auto"/>
              </w:divBdr>
            </w:div>
            <w:div w:id="47266575">
              <w:marLeft w:val="0"/>
              <w:marRight w:val="0"/>
              <w:marTop w:val="60"/>
              <w:marBottom w:val="0"/>
              <w:divBdr>
                <w:top w:val="none" w:sz="0" w:space="0" w:color="auto"/>
                <w:left w:val="none" w:sz="0" w:space="0" w:color="auto"/>
                <w:bottom w:val="none" w:sz="0" w:space="0" w:color="auto"/>
                <w:right w:val="none" w:sz="0" w:space="0" w:color="auto"/>
              </w:divBdr>
            </w:div>
            <w:div w:id="951321182">
              <w:marLeft w:val="0"/>
              <w:marRight w:val="0"/>
              <w:marTop w:val="60"/>
              <w:marBottom w:val="0"/>
              <w:divBdr>
                <w:top w:val="none" w:sz="0" w:space="0" w:color="auto"/>
                <w:left w:val="none" w:sz="0" w:space="0" w:color="auto"/>
                <w:bottom w:val="none" w:sz="0" w:space="0" w:color="auto"/>
                <w:right w:val="none" w:sz="0" w:space="0" w:color="auto"/>
              </w:divBdr>
            </w:div>
            <w:div w:id="16401850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508/t20150825_283197.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293</Words>
  <Characters>1675</Characters>
  <Application>Microsoft Office Word</Application>
  <DocSecurity>0</DocSecurity>
  <Lines>13</Lines>
  <Paragraphs>3</Paragraphs>
  <ScaleCrop>false</ScaleCrop>
  <Company/>
  <LinksUpToDate>false</LinksUpToDate>
  <CharactersWithSpaces>1965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2020-02-17T15:11:00Z</dcterms:created>
  <dcterms:modified xsi:type="dcterms:W3CDTF">2020-02-17T15:11:00Z</dcterms:modified>
</cp:coreProperties>
</file>