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EE" w:rsidRPr="00CA31EE" w:rsidRDefault="00CA31EE" w:rsidP="00CA31EE">
      <w:pPr>
        <w:widowControl/>
        <w:jc w:val="center"/>
        <w:rPr>
          <w:rFonts w:ascii="微软雅黑" w:eastAsia="微软雅黑" w:hAnsi="微软雅黑" w:cs="宋体"/>
          <w:color w:val="000000"/>
          <w:kern w:val="0"/>
          <w:sz w:val="18"/>
          <w:szCs w:val="18"/>
        </w:rPr>
      </w:pPr>
      <w:r w:rsidRPr="00CA31E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A31EE" w:rsidRPr="00CA31EE" w:rsidTr="00CA31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31EE" w:rsidRPr="00CA31EE">
              <w:trPr>
                <w:tblCellSpacing w:w="0" w:type="dxa"/>
              </w:trPr>
              <w:tc>
                <w:tcPr>
                  <w:tcW w:w="2500" w:type="pct"/>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hint="eastAsia"/>
                      <w:color w:val="686868"/>
                      <w:kern w:val="0"/>
                      <w:sz w:val="18"/>
                      <w:szCs w:val="18"/>
                    </w:rPr>
                  </w:pPr>
                  <w:r w:rsidRPr="00CA31EE">
                    <w:rPr>
                      <w:rFonts w:ascii="宋体" w:eastAsia="宋体" w:hAnsi="宋体" w:cs="宋体"/>
                      <w:b/>
                      <w:bCs/>
                      <w:color w:val="686868"/>
                      <w:kern w:val="0"/>
                      <w:sz w:val="18"/>
                      <w:szCs w:val="18"/>
                    </w:rPr>
                    <w:t>索 引 号:</w:t>
                  </w:r>
                  <w:r w:rsidRPr="00CA31E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分类:</w:t>
                  </w:r>
                  <w:r w:rsidRPr="00CA31EE">
                    <w:rPr>
                      <w:rFonts w:ascii="宋体" w:eastAsia="宋体" w:hAnsi="宋体" w:cs="宋体"/>
                      <w:color w:val="686868"/>
                      <w:kern w:val="0"/>
                      <w:sz w:val="18"/>
                      <w:szCs w:val="18"/>
                    </w:rPr>
                    <w:t> 行政处罚 ; 行政处罚决定</w:t>
                  </w:r>
                </w:p>
              </w:tc>
            </w:tr>
          </w:tbl>
          <w:p w:rsidR="00CA31EE" w:rsidRPr="00CA31EE" w:rsidRDefault="00CA31EE" w:rsidP="00CA31EE">
            <w:pPr>
              <w:widowControl/>
              <w:jc w:val="left"/>
              <w:rPr>
                <w:rFonts w:ascii="宋体" w:eastAsia="宋体" w:hAnsi="宋体" w:cs="宋体"/>
                <w:color w:val="686868"/>
                <w:kern w:val="0"/>
                <w:sz w:val="18"/>
                <w:szCs w:val="18"/>
              </w:rPr>
            </w:pPr>
          </w:p>
        </w:tc>
      </w:tr>
      <w:tr w:rsidR="00CA31EE" w:rsidRPr="00CA31EE" w:rsidTr="00CA31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31EE" w:rsidRPr="00CA31EE">
              <w:trPr>
                <w:tblCellSpacing w:w="0" w:type="dxa"/>
              </w:trPr>
              <w:tc>
                <w:tcPr>
                  <w:tcW w:w="2500" w:type="pct"/>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发布机构:</w:t>
                  </w:r>
                  <w:r w:rsidRPr="00CA31E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发文日期:</w:t>
                  </w:r>
                  <w:r w:rsidRPr="00CA31EE">
                    <w:rPr>
                      <w:rFonts w:ascii="宋体" w:eastAsia="宋体" w:hAnsi="宋体" w:cs="宋体"/>
                      <w:color w:val="686868"/>
                      <w:kern w:val="0"/>
                      <w:sz w:val="18"/>
                      <w:szCs w:val="18"/>
                    </w:rPr>
                    <w:t> 2015年07月13日</w:t>
                  </w:r>
                </w:p>
              </w:tc>
            </w:tr>
          </w:tbl>
          <w:p w:rsidR="00CA31EE" w:rsidRPr="00CA31EE" w:rsidRDefault="00CA31EE" w:rsidP="00CA31EE">
            <w:pPr>
              <w:widowControl/>
              <w:jc w:val="left"/>
              <w:rPr>
                <w:rFonts w:ascii="宋体" w:eastAsia="宋体" w:hAnsi="宋体" w:cs="宋体"/>
                <w:color w:val="686868"/>
                <w:kern w:val="0"/>
                <w:sz w:val="18"/>
                <w:szCs w:val="18"/>
              </w:rPr>
            </w:pPr>
          </w:p>
        </w:tc>
      </w:tr>
      <w:tr w:rsidR="00CA31EE" w:rsidRPr="00CA31EE" w:rsidTr="00CA31EE">
        <w:trPr>
          <w:tblCellSpacing w:w="0" w:type="dxa"/>
          <w:jc w:val="center"/>
        </w:trPr>
        <w:tc>
          <w:tcPr>
            <w:tcW w:w="0" w:type="auto"/>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名　　称:</w:t>
            </w:r>
            <w:r w:rsidRPr="00CA31EE">
              <w:rPr>
                <w:rFonts w:ascii="宋体" w:eastAsia="宋体" w:hAnsi="宋体" w:cs="宋体"/>
                <w:color w:val="686868"/>
                <w:kern w:val="0"/>
                <w:sz w:val="18"/>
                <w:szCs w:val="18"/>
              </w:rPr>
              <w:t> 中国证监会行政处罚决定书（深圳市金中和投资管理有限公司、曾军）</w:t>
            </w:r>
          </w:p>
        </w:tc>
      </w:tr>
      <w:tr w:rsidR="00CA31EE" w:rsidRPr="00CA31EE" w:rsidTr="00CA31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31EE" w:rsidRPr="00CA31EE">
              <w:trPr>
                <w:tblCellSpacing w:w="0" w:type="dxa"/>
              </w:trPr>
              <w:tc>
                <w:tcPr>
                  <w:tcW w:w="2500" w:type="pct"/>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文　　号:</w:t>
                  </w:r>
                  <w:r w:rsidRPr="00CA31EE">
                    <w:rPr>
                      <w:rFonts w:ascii="宋体" w:eastAsia="宋体" w:hAnsi="宋体" w:cs="宋体"/>
                      <w:color w:val="686868"/>
                      <w:kern w:val="0"/>
                      <w:sz w:val="18"/>
                      <w:szCs w:val="18"/>
                    </w:rPr>
                    <w:t> </w:t>
                  </w:r>
                  <w:bookmarkStart w:id="0" w:name="_GoBack"/>
                  <w:r w:rsidRPr="00CA31EE">
                    <w:rPr>
                      <w:rFonts w:ascii="宋体" w:eastAsia="宋体" w:hAnsi="宋体" w:cs="宋体"/>
                      <w:color w:val="686868"/>
                      <w:kern w:val="0"/>
                      <w:sz w:val="18"/>
                      <w:szCs w:val="18"/>
                    </w:rPr>
                    <w:t>〔2015〕19号</w:t>
                  </w:r>
                  <w:bookmarkEnd w:id="0"/>
                </w:p>
              </w:tc>
              <w:tc>
                <w:tcPr>
                  <w:tcW w:w="0" w:type="auto"/>
                  <w:tcMar>
                    <w:top w:w="30" w:type="dxa"/>
                    <w:left w:w="30" w:type="dxa"/>
                    <w:bottom w:w="30" w:type="dxa"/>
                    <w:right w:w="30" w:type="dxa"/>
                  </w:tcMar>
                  <w:hideMark/>
                </w:tcPr>
                <w:p w:rsidR="00CA31EE" w:rsidRPr="00CA31EE" w:rsidRDefault="00CA31EE" w:rsidP="00CA31EE">
                  <w:pPr>
                    <w:widowControl/>
                    <w:jc w:val="left"/>
                    <w:rPr>
                      <w:rFonts w:ascii="宋体" w:eastAsia="宋体" w:hAnsi="宋体" w:cs="宋体"/>
                      <w:color w:val="686868"/>
                      <w:kern w:val="0"/>
                      <w:sz w:val="18"/>
                      <w:szCs w:val="18"/>
                    </w:rPr>
                  </w:pPr>
                  <w:r w:rsidRPr="00CA31EE">
                    <w:rPr>
                      <w:rFonts w:ascii="宋体" w:eastAsia="宋体" w:hAnsi="宋体" w:cs="宋体"/>
                      <w:b/>
                      <w:bCs/>
                      <w:color w:val="686868"/>
                      <w:kern w:val="0"/>
                      <w:sz w:val="18"/>
                      <w:szCs w:val="18"/>
                    </w:rPr>
                    <w:t>主 题 词:</w:t>
                  </w:r>
                </w:p>
              </w:tc>
            </w:tr>
          </w:tbl>
          <w:p w:rsidR="00CA31EE" w:rsidRPr="00CA31EE" w:rsidRDefault="00CA31EE" w:rsidP="00CA31EE">
            <w:pPr>
              <w:widowControl/>
              <w:jc w:val="left"/>
              <w:rPr>
                <w:rFonts w:ascii="宋体" w:eastAsia="宋体" w:hAnsi="宋体" w:cs="宋体"/>
                <w:color w:val="686868"/>
                <w:kern w:val="0"/>
                <w:sz w:val="18"/>
                <w:szCs w:val="18"/>
              </w:rPr>
            </w:pPr>
          </w:p>
        </w:tc>
      </w:tr>
    </w:tbl>
    <w:p w:rsidR="00CA31EE" w:rsidRPr="00CA31EE" w:rsidRDefault="00CA31EE" w:rsidP="00CA31EE">
      <w:pPr>
        <w:widowControl/>
        <w:jc w:val="center"/>
        <w:rPr>
          <w:rFonts w:ascii="微软雅黑" w:eastAsia="微软雅黑" w:hAnsi="微软雅黑" w:cs="宋体"/>
          <w:color w:val="000000"/>
          <w:kern w:val="0"/>
          <w:sz w:val="18"/>
          <w:szCs w:val="18"/>
        </w:rPr>
      </w:pPr>
      <w:r w:rsidRPr="00CA31E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A31EE" w:rsidRPr="00CA31EE" w:rsidRDefault="00CA31EE" w:rsidP="00CA31EE">
      <w:pPr>
        <w:widowControl/>
        <w:shd w:val="clear" w:color="auto" w:fill="FFFFFF"/>
        <w:spacing w:after="240"/>
        <w:jc w:val="center"/>
        <w:rPr>
          <w:rFonts w:ascii="微软雅黑" w:eastAsia="微软雅黑" w:hAnsi="微软雅黑" w:cs="宋体" w:hint="eastAsia"/>
          <w:color w:val="000000"/>
          <w:kern w:val="0"/>
          <w:sz w:val="18"/>
          <w:szCs w:val="18"/>
        </w:rPr>
      </w:pPr>
      <w:r w:rsidRPr="00CA31EE">
        <w:rPr>
          <w:rFonts w:ascii="微软雅黑" w:eastAsia="微软雅黑" w:hAnsi="微软雅黑" w:cs="宋体" w:hint="eastAsia"/>
          <w:color w:val="000000"/>
          <w:kern w:val="0"/>
          <w:sz w:val="18"/>
          <w:szCs w:val="18"/>
        </w:rPr>
        <w:br/>
      </w:r>
      <w:r w:rsidRPr="00CA31EE">
        <w:rPr>
          <w:rFonts w:ascii="黑体" w:eastAsia="黑体" w:hAnsi="黑体" w:cs="宋体" w:hint="eastAsia"/>
          <w:b/>
          <w:bCs/>
          <w:color w:val="FF0000"/>
          <w:kern w:val="0"/>
          <w:sz w:val="36"/>
          <w:szCs w:val="36"/>
        </w:rPr>
        <w:t>中国证监会行政处罚决定书（深圳市金中和投资管理有限公司、曾军）</w:t>
      </w:r>
    </w:p>
    <w:p w:rsidR="00CA31EE" w:rsidRPr="00CA31EE" w:rsidRDefault="00CA31EE" w:rsidP="00CA31EE">
      <w:pPr>
        <w:widowControl/>
        <w:shd w:val="clear" w:color="auto" w:fill="FFFFFF"/>
        <w:spacing w:line="360" w:lineRule="atLeast"/>
        <w:jc w:val="center"/>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w:t>
      </w:r>
      <w:r w:rsidRPr="00CA31EE">
        <w:rPr>
          <w:rFonts w:ascii="Times New Roman" w:eastAsia="宋体" w:hAnsi="Times New Roman" w:cs="Times New Roman" w:hint="eastAsia"/>
          <w:color w:val="000000"/>
          <w:kern w:val="0"/>
          <w:szCs w:val="21"/>
        </w:rPr>
        <w:t>2015</w:t>
      </w:r>
      <w:r w:rsidRPr="00CA31EE">
        <w:rPr>
          <w:rFonts w:ascii="宋体" w:eastAsia="宋体" w:hAnsi="宋体" w:cs="宋体" w:hint="eastAsia"/>
          <w:color w:val="000000"/>
          <w:kern w:val="0"/>
          <w:szCs w:val="21"/>
        </w:rPr>
        <w:t>〕</w:t>
      </w:r>
      <w:r w:rsidRPr="00CA31EE">
        <w:rPr>
          <w:rFonts w:ascii="Times New Roman" w:eastAsia="宋体" w:hAnsi="Times New Roman" w:cs="Times New Roman" w:hint="eastAsia"/>
          <w:color w:val="000000"/>
          <w:kern w:val="0"/>
          <w:szCs w:val="21"/>
        </w:rPr>
        <w:t>19</w:t>
      </w:r>
      <w:r w:rsidRPr="00CA31EE">
        <w:rPr>
          <w:rFonts w:ascii="宋体" w:eastAsia="宋体" w:hAnsi="宋体" w:cs="宋体" w:hint="eastAsia"/>
          <w:color w:val="000000"/>
          <w:kern w:val="0"/>
          <w:szCs w:val="21"/>
        </w:rPr>
        <w:t>号</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当事人：深圳市金中和投资管理有限公司（以下简称金中和或公司），法定代表人黄某某，住址：广东省深圳市福田区福中路。</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曾军，男，</w:t>
      </w:r>
      <w:r w:rsidRPr="00CA31EE">
        <w:rPr>
          <w:rFonts w:ascii="Times New Roman" w:eastAsia="宋体" w:hAnsi="Times New Roman" w:cs="Times New Roman" w:hint="eastAsia"/>
          <w:color w:val="000000"/>
          <w:kern w:val="0"/>
          <w:szCs w:val="21"/>
        </w:rPr>
        <w:t>1970</w:t>
      </w:r>
      <w:r w:rsidRPr="00CA31EE">
        <w:rPr>
          <w:rFonts w:ascii="宋体" w:eastAsia="宋体" w:hAnsi="宋体" w:cs="宋体" w:hint="eastAsia"/>
          <w:color w:val="000000"/>
          <w:kern w:val="0"/>
          <w:szCs w:val="21"/>
        </w:rPr>
        <w:t>年</w:t>
      </w:r>
      <w:r w:rsidRPr="00CA31EE">
        <w:rPr>
          <w:rFonts w:ascii="Times New Roman" w:eastAsia="宋体" w:hAnsi="Times New Roman" w:cs="Times New Roman" w:hint="eastAsia"/>
          <w:color w:val="000000"/>
          <w:kern w:val="0"/>
          <w:szCs w:val="21"/>
        </w:rPr>
        <w:t>1</w:t>
      </w:r>
      <w:r w:rsidRPr="00CA31EE">
        <w:rPr>
          <w:rFonts w:ascii="宋体" w:eastAsia="宋体" w:hAnsi="宋体" w:cs="宋体" w:hint="eastAsia"/>
          <w:color w:val="000000"/>
          <w:kern w:val="0"/>
          <w:szCs w:val="21"/>
        </w:rPr>
        <w:t>月出生，时任金中和</w:t>
      </w:r>
      <w:r w:rsidRPr="00CA31EE">
        <w:rPr>
          <w:rFonts w:ascii="Times New Roman" w:eastAsia="宋体" w:hAnsi="Times New Roman" w:cs="Times New Roman" w:hint="eastAsia"/>
          <w:color w:val="000000"/>
          <w:kern w:val="0"/>
          <w:szCs w:val="21"/>
        </w:rPr>
        <w:t>CEO</w:t>
      </w:r>
      <w:r w:rsidRPr="00CA31EE">
        <w:rPr>
          <w:rFonts w:ascii="宋体" w:eastAsia="宋体" w:hAnsi="宋体" w:cs="宋体" w:hint="eastAsia"/>
          <w:color w:val="000000"/>
          <w:kern w:val="0"/>
          <w:szCs w:val="21"/>
        </w:rPr>
        <w:t>及投资总监，住址：广东省深圳市福田区。</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依据《中华人民共和国证券法》（以下简称《证券法》）的有关规定，我会对金中和、曾军内幕交易行为进行了立案调查、审理，并依法向当事人告知了</w:t>
      </w:r>
      <w:proofErr w:type="gramStart"/>
      <w:r w:rsidRPr="00CA31EE">
        <w:rPr>
          <w:rFonts w:ascii="宋体" w:eastAsia="宋体" w:hAnsi="宋体" w:cs="宋体" w:hint="eastAsia"/>
          <w:color w:val="000000"/>
          <w:kern w:val="0"/>
          <w:szCs w:val="21"/>
        </w:rPr>
        <w:t>作出</w:t>
      </w:r>
      <w:proofErr w:type="gramEnd"/>
      <w:r w:rsidRPr="00CA31EE">
        <w:rPr>
          <w:rFonts w:ascii="宋体" w:eastAsia="宋体" w:hAnsi="宋体" w:cs="宋体" w:hint="eastAsia"/>
          <w:color w:val="000000"/>
          <w:kern w:val="0"/>
          <w:szCs w:val="21"/>
        </w:rPr>
        <w:t>行政处罚的事实、理由、依据及当事人依法享有的权利，应当事人金中和的要求举行了听证会，听取了金中和及其代理人的陈述和申辩。本案现已调查、审理终结。</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spacing w:val="6"/>
          <w:kern w:val="0"/>
          <w:szCs w:val="21"/>
        </w:rPr>
        <w:t>经查明，</w:t>
      </w:r>
      <w:r w:rsidRPr="00CA31EE">
        <w:rPr>
          <w:rFonts w:ascii="宋体" w:eastAsia="宋体" w:hAnsi="宋体" w:cs="宋体" w:hint="eastAsia"/>
          <w:color w:val="000000"/>
          <w:kern w:val="0"/>
          <w:szCs w:val="21"/>
        </w:rPr>
        <w:t>金中和、曾军内幕交易的事实如下：</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一、内幕信息的形成和公开过程</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2012年</w:t>
      </w:r>
      <w:r w:rsidRPr="00CA31EE">
        <w:rPr>
          <w:rFonts w:ascii="Times New Roman" w:eastAsia="宋体" w:hAnsi="Times New Roman" w:cs="Times New Roman" w:hint="eastAsia"/>
          <w:color w:val="000000"/>
          <w:kern w:val="0"/>
          <w:szCs w:val="21"/>
        </w:rPr>
        <w:t>5</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3</w:t>
      </w:r>
      <w:r w:rsidRPr="00CA31EE">
        <w:rPr>
          <w:rFonts w:ascii="宋体" w:eastAsia="宋体" w:hAnsi="宋体" w:cs="宋体" w:hint="eastAsia"/>
          <w:color w:val="000000"/>
          <w:kern w:val="0"/>
          <w:szCs w:val="21"/>
        </w:rPr>
        <w:t>日，青岛市恒顺电气股份有限公司（以下简称恒顺电气）董事长贾某某决定收购印度尼西亚的煤矿，并决定以恒顺电气第一大股东青岛清源环保实业有限公司的名义支付收购印度尼西亚的煤矿580万元的订金，如收购进展顺利则转由恒顺电气投资。</w:t>
      </w:r>
      <w:r w:rsidRPr="00CA31EE">
        <w:rPr>
          <w:rFonts w:ascii="Times New Roman" w:eastAsia="宋体" w:hAnsi="Times New Roman" w:cs="Times New Roman" w:hint="eastAsia"/>
          <w:color w:val="000000"/>
          <w:kern w:val="0"/>
          <w:szCs w:val="21"/>
        </w:rPr>
        <w:t>10</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29</w:t>
      </w:r>
      <w:r w:rsidRPr="00CA31EE">
        <w:rPr>
          <w:rFonts w:ascii="宋体" w:eastAsia="宋体" w:hAnsi="宋体" w:cs="宋体" w:hint="eastAsia"/>
          <w:color w:val="000000"/>
          <w:kern w:val="0"/>
          <w:szCs w:val="21"/>
        </w:rPr>
        <w:t>日，恒顺电气与印度尼西亚东加煤矿代表方谈判确定了煤矿价格，</w:t>
      </w:r>
      <w:r w:rsidRPr="00CA31EE">
        <w:rPr>
          <w:rFonts w:ascii="Times New Roman" w:eastAsia="宋体" w:hAnsi="Times New Roman" w:cs="Times New Roman" w:hint="eastAsia"/>
          <w:color w:val="000000"/>
          <w:kern w:val="0"/>
          <w:szCs w:val="21"/>
        </w:rPr>
        <w:t>11</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9</w:t>
      </w:r>
      <w:r w:rsidRPr="00CA31EE">
        <w:rPr>
          <w:rFonts w:ascii="宋体" w:eastAsia="宋体" w:hAnsi="宋体" w:cs="宋体" w:hint="eastAsia"/>
          <w:color w:val="000000"/>
          <w:kern w:val="0"/>
          <w:szCs w:val="21"/>
        </w:rPr>
        <w:t>日双方签署了合同。</w:t>
      </w:r>
      <w:r w:rsidRPr="00CA31EE">
        <w:rPr>
          <w:rFonts w:ascii="Times New Roman" w:eastAsia="宋体" w:hAnsi="Times New Roman" w:cs="Times New Roman" w:hint="eastAsia"/>
          <w:color w:val="000000"/>
          <w:kern w:val="0"/>
          <w:szCs w:val="21"/>
        </w:rPr>
        <w:t>11</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10</w:t>
      </w:r>
      <w:r w:rsidRPr="00CA31EE">
        <w:rPr>
          <w:rFonts w:ascii="宋体" w:eastAsia="宋体" w:hAnsi="宋体" w:cs="宋体" w:hint="eastAsia"/>
          <w:color w:val="000000"/>
          <w:kern w:val="0"/>
          <w:szCs w:val="21"/>
        </w:rPr>
        <w:t>日，恒顺电气召开董事会会议，通过了收购东加煤矿项目的决议。</w:t>
      </w:r>
      <w:r w:rsidRPr="00CA31EE">
        <w:rPr>
          <w:rFonts w:ascii="Times New Roman" w:eastAsia="宋体" w:hAnsi="Times New Roman" w:cs="Times New Roman" w:hint="eastAsia"/>
          <w:color w:val="000000"/>
          <w:kern w:val="0"/>
          <w:szCs w:val="21"/>
        </w:rPr>
        <w:t>11</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12</w:t>
      </w:r>
      <w:r w:rsidRPr="00CA31EE">
        <w:rPr>
          <w:rFonts w:ascii="宋体" w:eastAsia="宋体" w:hAnsi="宋体" w:cs="宋体" w:hint="eastAsia"/>
          <w:color w:val="000000"/>
          <w:kern w:val="0"/>
          <w:szCs w:val="21"/>
        </w:rPr>
        <w:t>日，恒顺电气公告收购印度尼西亚东加煤矿项目。贾某某等人为恒顺电气收购印度尼西亚相关煤矿的知情人。</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二、曾军知悉相关信息</w:t>
      </w:r>
      <w:proofErr w:type="gramStart"/>
      <w:r w:rsidRPr="00CA31EE">
        <w:rPr>
          <w:rFonts w:ascii="宋体" w:eastAsia="宋体" w:hAnsi="宋体" w:cs="宋体" w:hint="eastAsia"/>
          <w:color w:val="000000"/>
          <w:kern w:val="0"/>
          <w:szCs w:val="21"/>
        </w:rPr>
        <w:t xml:space="preserve">　　　　</w:t>
      </w:r>
      <w:proofErr w:type="gramEnd"/>
      <w:r w:rsidRPr="00CA31EE">
        <w:rPr>
          <w:rFonts w:ascii="宋体" w:eastAsia="宋体" w:hAnsi="宋体" w:cs="宋体" w:hint="eastAsia"/>
          <w:color w:val="000000"/>
          <w:kern w:val="0"/>
          <w:szCs w:val="21"/>
        </w:rPr>
        <w:t> </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在恒顺电气收购印度尼西亚煤矿的过程中，曾军曾向贾某某提供投资建议。</w:t>
      </w:r>
      <w:r w:rsidRPr="00CA31EE">
        <w:rPr>
          <w:rFonts w:ascii="Times New Roman" w:eastAsia="宋体" w:hAnsi="Times New Roman" w:cs="Times New Roman" w:hint="eastAsia"/>
          <w:color w:val="000000"/>
          <w:kern w:val="0"/>
          <w:szCs w:val="21"/>
        </w:rPr>
        <w:t>2012</w:t>
      </w:r>
      <w:r w:rsidRPr="00CA31EE">
        <w:rPr>
          <w:rFonts w:ascii="宋体" w:eastAsia="宋体" w:hAnsi="宋体" w:cs="宋体" w:hint="eastAsia"/>
          <w:color w:val="000000"/>
          <w:kern w:val="0"/>
          <w:szCs w:val="21"/>
        </w:rPr>
        <w:t>年</w:t>
      </w:r>
      <w:r w:rsidRPr="00CA31EE">
        <w:rPr>
          <w:rFonts w:ascii="Times New Roman" w:eastAsia="宋体" w:hAnsi="Times New Roman" w:cs="Times New Roman" w:hint="eastAsia"/>
          <w:color w:val="000000"/>
          <w:kern w:val="0"/>
          <w:szCs w:val="21"/>
        </w:rPr>
        <w:t>7</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4</w:t>
      </w:r>
      <w:r w:rsidRPr="00CA31EE">
        <w:rPr>
          <w:rFonts w:ascii="宋体" w:eastAsia="宋体" w:hAnsi="宋体" w:cs="宋体" w:hint="eastAsia"/>
          <w:color w:val="000000"/>
          <w:kern w:val="0"/>
          <w:szCs w:val="21"/>
        </w:rPr>
        <w:t>日，曾军还出席了讨论投资煤矿进度问题的专门会议。其知悉恒顺电气收购印度尼西亚相关煤矿的信息。</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三、金中和交易“恒顺电气”股票</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lastRenderedPageBreak/>
        <w:t>金中和系</w:t>
      </w:r>
      <w:proofErr w:type="gramStart"/>
      <w:r w:rsidRPr="00CA31EE">
        <w:rPr>
          <w:rFonts w:ascii="宋体" w:eastAsia="宋体" w:hAnsi="宋体" w:cs="宋体" w:hint="eastAsia"/>
          <w:color w:val="000000"/>
          <w:kern w:val="0"/>
          <w:szCs w:val="21"/>
        </w:rPr>
        <w:t>金中和西鼎信托</w:t>
      </w:r>
      <w:proofErr w:type="gramEnd"/>
      <w:r w:rsidRPr="00CA31EE">
        <w:rPr>
          <w:rFonts w:ascii="宋体" w:eastAsia="宋体" w:hAnsi="宋体" w:cs="宋体" w:hint="eastAsia"/>
          <w:color w:val="000000"/>
          <w:kern w:val="0"/>
          <w:szCs w:val="21"/>
        </w:rPr>
        <w:t>计划和富锦</w:t>
      </w:r>
      <w:r w:rsidRPr="00CA31EE">
        <w:rPr>
          <w:rFonts w:ascii="Times New Roman" w:eastAsia="宋体" w:hAnsi="Times New Roman" w:cs="Times New Roman" w:hint="eastAsia"/>
          <w:color w:val="000000"/>
          <w:kern w:val="0"/>
          <w:szCs w:val="21"/>
        </w:rPr>
        <w:t>6</w:t>
      </w:r>
      <w:r w:rsidRPr="00CA31EE">
        <w:rPr>
          <w:rFonts w:ascii="宋体" w:eastAsia="宋体" w:hAnsi="宋体" w:cs="宋体" w:hint="eastAsia"/>
          <w:color w:val="000000"/>
          <w:kern w:val="0"/>
          <w:szCs w:val="21"/>
        </w:rPr>
        <w:t>号信托计划的投资顾问，按照协议约定收取投资顾问管理费。曾军是金中和的</w:t>
      </w:r>
      <w:r w:rsidRPr="00CA31EE">
        <w:rPr>
          <w:rFonts w:ascii="Times New Roman" w:eastAsia="宋体" w:hAnsi="Times New Roman" w:cs="Times New Roman" w:hint="eastAsia"/>
          <w:color w:val="000000"/>
          <w:kern w:val="0"/>
          <w:szCs w:val="21"/>
        </w:rPr>
        <w:t>CEO</w:t>
      </w:r>
      <w:r w:rsidRPr="00CA31EE">
        <w:rPr>
          <w:rFonts w:ascii="宋体" w:eastAsia="宋体" w:hAnsi="宋体" w:cs="宋体" w:hint="eastAsia"/>
          <w:color w:val="000000"/>
          <w:kern w:val="0"/>
          <w:szCs w:val="21"/>
        </w:rPr>
        <w:t>和投资总监，自</w:t>
      </w:r>
      <w:r w:rsidRPr="00CA31EE">
        <w:rPr>
          <w:rFonts w:ascii="Times New Roman" w:eastAsia="楷体" w:hAnsi="Times New Roman" w:cs="Times New Roman"/>
          <w:color w:val="000000"/>
          <w:kern w:val="0"/>
          <w:szCs w:val="21"/>
        </w:rPr>
        <w:t>2010</w:t>
      </w:r>
      <w:r w:rsidRPr="00CA31EE">
        <w:rPr>
          <w:rFonts w:ascii="宋体" w:eastAsia="宋体" w:hAnsi="宋体" w:cs="宋体" w:hint="eastAsia"/>
          <w:color w:val="000000"/>
          <w:kern w:val="0"/>
          <w:szCs w:val="21"/>
        </w:rPr>
        <w:t>年</w:t>
      </w:r>
      <w:r w:rsidRPr="00CA31EE">
        <w:rPr>
          <w:rFonts w:ascii="Times New Roman" w:eastAsia="楷体" w:hAnsi="Times New Roman" w:cs="Times New Roman"/>
          <w:color w:val="000000"/>
          <w:kern w:val="0"/>
          <w:szCs w:val="21"/>
        </w:rPr>
        <w:t>12</w:t>
      </w:r>
      <w:r w:rsidRPr="00CA31EE">
        <w:rPr>
          <w:rFonts w:ascii="宋体" w:eastAsia="宋体" w:hAnsi="宋体" w:cs="宋体" w:hint="eastAsia"/>
          <w:color w:val="000000"/>
          <w:kern w:val="0"/>
          <w:szCs w:val="21"/>
        </w:rPr>
        <w:t>月</w:t>
      </w:r>
      <w:r w:rsidRPr="00CA31EE">
        <w:rPr>
          <w:rFonts w:ascii="Times New Roman" w:eastAsia="楷体" w:hAnsi="Times New Roman" w:cs="Times New Roman"/>
          <w:color w:val="000000"/>
          <w:kern w:val="0"/>
          <w:szCs w:val="21"/>
        </w:rPr>
        <w:t>22</w:t>
      </w:r>
      <w:r w:rsidRPr="00CA31EE">
        <w:rPr>
          <w:rFonts w:ascii="宋体" w:eastAsia="宋体" w:hAnsi="宋体" w:cs="宋体" w:hint="eastAsia"/>
          <w:color w:val="000000"/>
          <w:kern w:val="0"/>
          <w:szCs w:val="21"/>
        </w:rPr>
        <w:t>日起，曾军开始担任上述两个信托账户的投资经理，负责账户投资决策及下单交易。</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2012年</w:t>
      </w:r>
      <w:r w:rsidRPr="00CA31EE">
        <w:rPr>
          <w:rFonts w:ascii="Times New Roman" w:eastAsia="宋体" w:hAnsi="Times New Roman" w:cs="Times New Roman" w:hint="eastAsia"/>
          <w:color w:val="000000"/>
          <w:kern w:val="0"/>
          <w:szCs w:val="21"/>
        </w:rPr>
        <w:t>6</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11</w:t>
      </w:r>
      <w:r w:rsidRPr="00CA31EE">
        <w:rPr>
          <w:rFonts w:ascii="宋体" w:eastAsia="宋体" w:hAnsi="宋体" w:cs="宋体" w:hint="eastAsia"/>
          <w:color w:val="000000"/>
          <w:kern w:val="0"/>
          <w:szCs w:val="21"/>
        </w:rPr>
        <w:t>日至</w:t>
      </w:r>
      <w:r w:rsidRPr="00CA31EE">
        <w:rPr>
          <w:rFonts w:ascii="Times New Roman" w:eastAsia="宋体" w:hAnsi="Times New Roman" w:cs="Times New Roman" w:hint="eastAsia"/>
          <w:color w:val="000000"/>
          <w:kern w:val="0"/>
          <w:szCs w:val="21"/>
        </w:rPr>
        <w:t>25</w:t>
      </w:r>
      <w:r w:rsidRPr="00CA31EE">
        <w:rPr>
          <w:rFonts w:ascii="宋体" w:eastAsia="宋体" w:hAnsi="宋体" w:cs="宋体" w:hint="eastAsia"/>
          <w:color w:val="000000"/>
          <w:kern w:val="0"/>
          <w:szCs w:val="21"/>
        </w:rPr>
        <w:t>日，</w:t>
      </w:r>
      <w:proofErr w:type="gramStart"/>
      <w:r w:rsidRPr="00CA31EE">
        <w:rPr>
          <w:rFonts w:ascii="宋体" w:eastAsia="宋体" w:hAnsi="宋体" w:cs="宋体" w:hint="eastAsia"/>
          <w:color w:val="000000"/>
          <w:kern w:val="0"/>
          <w:szCs w:val="21"/>
        </w:rPr>
        <w:t>金中和西鼎账户</w:t>
      </w:r>
      <w:proofErr w:type="gramEnd"/>
      <w:r w:rsidRPr="00CA31EE">
        <w:rPr>
          <w:rFonts w:ascii="宋体" w:eastAsia="宋体" w:hAnsi="宋体" w:cs="宋体" w:hint="eastAsia"/>
          <w:color w:val="000000"/>
          <w:kern w:val="0"/>
          <w:szCs w:val="21"/>
        </w:rPr>
        <w:t>共买入“恒顺电气”</w:t>
      </w:r>
      <w:r w:rsidRPr="00CA31EE">
        <w:rPr>
          <w:rFonts w:ascii="Times New Roman" w:eastAsia="宋体" w:hAnsi="Times New Roman" w:cs="Times New Roman" w:hint="eastAsia"/>
          <w:color w:val="000000"/>
          <w:kern w:val="0"/>
          <w:szCs w:val="21"/>
        </w:rPr>
        <w:t>1,267,955</w:t>
      </w:r>
      <w:r w:rsidRPr="00CA31EE">
        <w:rPr>
          <w:rFonts w:ascii="宋体" w:eastAsia="宋体" w:hAnsi="宋体" w:cs="宋体" w:hint="eastAsia"/>
          <w:color w:val="000000"/>
          <w:kern w:val="0"/>
          <w:szCs w:val="21"/>
        </w:rPr>
        <w:t>股；</w:t>
      </w:r>
      <w:r w:rsidRPr="00CA31EE">
        <w:rPr>
          <w:rFonts w:ascii="Times New Roman" w:eastAsia="宋体" w:hAnsi="Times New Roman" w:cs="Times New Roman" w:hint="eastAsia"/>
          <w:color w:val="000000"/>
          <w:kern w:val="0"/>
          <w:szCs w:val="21"/>
        </w:rPr>
        <w:t>2012</w:t>
      </w:r>
      <w:r w:rsidRPr="00CA31EE">
        <w:rPr>
          <w:rFonts w:ascii="宋体" w:eastAsia="宋体" w:hAnsi="宋体" w:cs="宋体" w:hint="eastAsia"/>
          <w:color w:val="000000"/>
          <w:kern w:val="0"/>
          <w:szCs w:val="21"/>
        </w:rPr>
        <w:t>年</w:t>
      </w:r>
      <w:r w:rsidRPr="00CA31EE">
        <w:rPr>
          <w:rFonts w:ascii="Times New Roman" w:eastAsia="宋体" w:hAnsi="Times New Roman" w:cs="Times New Roman" w:hint="eastAsia"/>
          <w:color w:val="000000"/>
          <w:kern w:val="0"/>
          <w:szCs w:val="21"/>
        </w:rPr>
        <w:t>10</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16</w:t>
      </w:r>
      <w:r w:rsidRPr="00CA31EE">
        <w:rPr>
          <w:rFonts w:ascii="宋体" w:eastAsia="宋体" w:hAnsi="宋体" w:cs="宋体" w:hint="eastAsia"/>
          <w:color w:val="000000"/>
          <w:kern w:val="0"/>
          <w:szCs w:val="21"/>
        </w:rPr>
        <w:t>日至</w:t>
      </w:r>
      <w:r w:rsidRPr="00CA31EE">
        <w:rPr>
          <w:rFonts w:ascii="Times New Roman" w:eastAsia="宋体" w:hAnsi="Times New Roman" w:cs="Times New Roman" w:hint="eastAsia"/>
          <w:color w:val="000000"/>
          <w:kern w:val="0"/>
          <w:szCs w:val="21"/>
        </w:rPr>
        <w:t>11</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w:t>
      </w:r>
      <w:r w:rsidRPr="00CA31EE">
        <w:rPr>
          <w:rFonts w:ascii="宋体" w:eastAsia="宋体" w:hAnsi="宋体" w:cs="宋体" w:hint="eastAsia"/>
          <w:color w:val="000000"/>
          <w:kern w:val="0"/>
          <w:szCs w:val="21"/>
        </w:rPr>
        <w:t>日，共买入“恒顺电气”</w:t>
      </w:r>
      <w:r w:rsidRPr="00CA31EE">
        <w:rPr>
          <w:rFonts w:ascii="Times New Roman" w:eastAsia="宋体" w:hAnsi="Times New Roman" w:cs="Times New Roman" w:hint="eastAsia"/>
          <w:color w:val="000000"/>
          <w:kern w:val="0"/>
          <w:szCs w:val="21"/>
        </w:rPr>
        <w:t>329,364</w:t>
      </w:r>
      <w:r w:rsidRPr="00CA31EE">
        <w:rPr>
          <w:rFonts w:ascii="宋体" w:eastAsia="宋体" w:hAnsi="宋体" w:cs="宋体" w:hint="eastAsia"/>
          <w:color w:val="000000"/>
          <w:kern w:val="0"/>
          <w:szCs w:val="21"/>
        </w:rPr>
        <w:t>股。</w:t>
      </w:r>
      <w:r w:rsidRPr="00CA31EE">
        <w:rPr>
          <w:rFonts w:ascii="Times New Roman" w:eastAsia="宋体" w:hAnsi="Times New Roman" w:cs="Times New Roman" w:hint="eastAsia"/>
          <w:color w:val="000000"/>
          <w:kern w:val="0"/>
          <w:szCs w:val="21"/>
        </w:rPr>
        <w:t>2013</w:t>
      </w:r>
      <w:r w:rsidRPr="00CA31EE">
        <w:rPr>
          <w:rFonts w:ascii="宋体" w:eastAsia="宋体" w:hAnsi="宋体" w:cs="宋体" w:hint="eastAsia"/>
          <w:color w:val="000000"/>
          <w:kern w:val="0"/>
          <w:szCs w:val="21"/>
        </w:rPr>
        <w:t>年</w:t>
      </w:r>
      <w:r w:rsidRPr="00CA31EE">
        <w:rPr>
          <w:rFonts w:ascii="Times New Roman" w:eastAsia="宋体" w:hAnsi="Times New Roman" w:cs="Times New Roman" w:hint="eastAsia"/>
          <w:color w:val="000000"/>
          <w:kern w:val="0"/>
          <w:szCs w:val="21"/>
        </w:rPr>
        <w:t>1</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15</w:t>
      </w:r>
      <w:r w:rsidRPr="00CA31EE">
        <w:rPr>
          <w:rFonts w:ascii="宋体" w:eastAsia="宋体" w:hAnsi="宋体" w:cs="宋体" w:hint="eastAsia"/>
          <w:color w:val="000000"/>
          <w:kern w:val="0"/>
          <w:szCs w:val="21"/>
        </w:rPr>
        <w:t>日全部卖出，成交金额</w:t>
      </w:r>
      <w:r w:rsidRPr="00CA31EE">
        <w:rPr>
          <w:rFonts w:ascii="Times New Roman" w:eastAsia="宋体" w:hAnsi="Times New Roman" w:cs="Times New Roman" w:hint="eastAsia"/>
          <w:color w:val="000000"/>
          <w:kern w:val="0"/>
          <w:szCs w:val="21"/>
        </w:rPr>
        <w:t>2,454</w:t>
      </w:r>
      <w:r w:rsidRPr="00CA31EE">
        <w:rPr>
          <w:rFonts w:ascii="宋体" w:eastAsia="宋体" w:hAnsi="宋体" w:cs="宋体" w:hint="eastAsia"/>
          <w:color w:val="000000"/>
          <w:kern w:val="0"/>
          <w:szCs w:val="21"/>
        </w:rPr>
        <w:t>万元。</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2012年</w:t>
      </w:r>
      <w:r w:rsidRPr="00CA31EE">
        <w:rPr>
          <w:rFonts w:ascii="Times New Roman" w:eastAsia="宋体" w:hAnsi="Times New Roman" w:cs="Times New Roman" w:hint="eastAsia"/>
          <w:color w:val="000000"/>
          <w:kern w:val="0"/>
          <w:szCs w:val="21"/>
        </w:rPr>
        <w:t>6</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5</w:t>
      </w:r>
      <w:r w:rsidRPr="00CA31EE">
        <w:rPr>
          <w:rFonts w:ascii="宋体" w:eastAsia="宋体" w:hAnsi="宋体" w:cs="宋体" w:hint="eastAsia"/>
          <w:color w:val="000000"/>
          <w:kern w:val="0"/>
          <w:szCs w:val="21"/>
        </w:rPr>
        <w:t>日至</w:t>
      </w:r>
      <w:r w:rsidRPr="00CA31EE">
        <w:rPr>
          <w:rFonts w:ascii="Times New Roman" w:eastAsia="宋体" w:hAnsi="Times New Roman" w:cs="Times New Roman" w:hint="eastAsia"/>
          <w:color w:val="000000"/>
          <w:kern w:val="0"/>
          <w:szCs w:val="21"/>
        </w:rPr>
        <w:t>7</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5</w:t>
      </w:r>
      <w:r w:rsidRPr="00CA31EE">
        <w:rPr>
          <w:rFonts w:ascii="宋体" w:eastAsia="宋体" w:hAnsi="宋体" w:cs="宋体" w:hint="eastAsia"/>
          <w:color w:val="000000"/>
          <w:kern w:val="0"/>
          <w:szCs w:val="21"/>
        </w:rPr>
        <w:t>日，富锦</w:t>
      </w:r>
      <w:r w:rsidRPr="00CA31EE">
        <w:rPr>
          <w:rFonts w:ascii="Times New Roman" w:eastAsia="宋体" w:hAnsi="Times New Roman" w:cs="Times New Roman" w:hint="eastAsia"/>
          <w:color w:val="000000"/>
          <w:kern w:val="0"/>
          <w:szCs w:val="21"/>
        </w:rPr>
        <w:t>6</w:t>
      </w:r>
      <w:r w:rsidRPr="00CA31EE">
        <w:rPr>
          <w:rFonts w:ascii="宋体" w:eastAsia="宋体" w:hAnsi="宋体" w:cs="宋体" w:hint="eastAsia"/>
          <w:color w:val="000000"/>
          <w:kern w:val="0"/>
          <w:szCs w:val="21"/>
        </w:rPr>
        <w:t>号账户共买入“恒顺电气”</w:t>
      </w:r>
      <w:r w:rsidRPr="00CA31EE">
        <w:rPr>
          <w:rFonts w:ascii="Times New Roman" w:eastAsia="宋体" w:hAnsi="Times New Roman" w:cs="Times New Roman" w:hint="eastAsia"/>
          <w:color w:val="000000"/>
          <w:kern w:val="0"/>
          <w:szCs w:val="21"/>
        </w:rPr>
        <w:t>3,099,512</w:t>
      </w:r>
      <w:r w:rsidRPr="00CA31EE">
        <w:rPr>
          <w:rFonts w:ascii="宋体" w:eastAsia="宋体" w:hAnsi="宋体" w:cs="宋体" w:hint="eastAsia"/>
          <w:color w:val="000000"/>
          <w:kern w:val="0"/>
          <w:szCs w:val="21"/>
        </w:rPr>
        <w:t>股；</w:t>
      </w:r>
      <w:r w:rsidRPr="00CA31EE">
        <w:rPr>
          <w:rFonts w:ascii="Times New Roman" w:eastAsia="宋体" w:hAnsi="Times New Roman" w:cs="Times New Roman" w:hint="eastAsia"/>
          <w:color w:val="000000"/>
          <w:kern w:val="0"/>
          <w:szCs w:val="21"/>
        </w:rPr>
        <w:t>2012</w:t>
      </w:r>
      <w:r w:rsidRPr="00CA31EE">
        <w:rPr>
          <w:rFonts w:ascii="宋体" w:eastAsia="宋体" w:hAnsi="宋体" w:cs="宋体" w:hint="eastAsia"/>
          <w:color w:val="000000"/>
          <w:kern w:val="0"/>
          <w:szCs w:val="21"/>
        </w:rPr>
        <w:t>年</w:t>
      </w:r>
      <w:r w:rsidRPr="00CA31EE">
        <w:rPr>
          <w:rFonts w:ascii="Times New Roman" w:eastAsia="宋体" w:hAnsi="Times New Roman" w:cs="Times New Roman" w:hint="eastAsia"/>
          <w:color w:val="000000"/>
          <w:kern w:val="0"/>
          <w:szCs w:val="21"/>
        </w:rPr>
        <w:t>10</w:t>
      </w:r>
      <w:r w:rsidRPr="00CA31EE">
        <w:rPr>
          <w:rFonts w:ascii="宋体" w:eastAsia="宋体" w:hAnsi="宋体" w:cs="宋体" w:hint="eastAsia"/>
          <w:color w:val="000000"/>
          <w:kern w:val="0"/>
          <w:szCs w:val="21"/>
        </w:rPr>
        <w:t>月</w:t>
      </w:r>
      <w:r w:rsidRPr="00CA31EE">
        <w:rPr>
          <w:rFonts w:ascii="Times New Roman" w:eastAsia="宋体" w:hAnsi="Times New Roman" w:cs="Times New Roman" w:hint="eastAsia"/>
          <w:color w:val="000000"/>
          <w:kern w:val="0"/>
          <w:szCs w:val="21"/>
        </w:rPr>
        <w:t>24</w:t>
      </w:r>
      <w:r w:rsidRPr="00CA31EE">
        <w:rPr>
          <w:rFonts w:ascii="宋体" w:eastAsia="宋体" w:hAnsi="宋体" w:cs="宋体" w:hint="eastAsia"/>
          <w:color w:val="000000"/>
          <w:kern w:val="0"/>
          <w:szCs w:val="21"/>
        </w:rPr>
        <w:t>日至</w:t>
      </w:r>
      <w:r w:rsidRPr="00CA31EE">
        <w:rPr>
          <w:rFonts w:ascii="Times New Roman" w:eastAsia="宋体" w:hAnsi="Times New Roman" w:cs="Times New Roman" w:hint="eastAsia"/>
          <w:color w:val="000000"/>
          <w:kern w:val="0"/>
          <w:szCs w:val="21"/>
        </w:rPr>
        <w:t>25</w:t>
      </w:r>
      <w:r w:rsidRPr="00CA31EE">
        <w:rPr>
          <w:rFonts w:ascii="宋体" w:eastAsia="宋体" w:hAnsi="宋体" w:cs="宋体" w:hint="eastAsia"/>
          <w:color w:val="000000"/>
          <w:kern w:val="0"/>
          <w:szCs w:val="21"/>
        </w:rPr>
        <w:t>日，共买入“恒顺电气”</w:t>
      </w:r>
      <w:r w:rsidRPr="00CA31EE">
        <w:rPr>
          <w:rFonts w:ascii="Times New Roman" w:eastAsia="宋体" w:hAnsi="Times New Roman" w:cs="Times New Roman" w:hint="eastAsia"/>
          <w:color w:val="000000"/>
          <w:kern w:val="0"/>
          <w:szCs w:val="21"/>
        </w:rPr>
        <w:t>130,400</w:t>
      </w:r>
      <w:r w:rsidRPr="00CA31EE">
        <w:rPr>
          <w:rFonts w:ascii="宋体" w:eastAsia="宋体" w:hAnsi="宋体" w:cs="宋体" w:hint="eastAsia"/>
          <w:color w:val="000000"/>
          <w:kern w:val="0"/>
          <w:szCs w:val="21"/>
        </w:rPr>
        <w:t>股，至我会调查结束日尚未卖出。</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以上事实有相关协议、相关公告、会议纪要、工作记录、往来邮件记录、交易流水、情况说明和当事人询问笔录等证据证明。</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恒顺电气投资印度尼西亚相关煤矿事项的信息，在公开前属于《证券法》第七十五条规定的内幕信息，曾军知悉上述信息。在该信息公开前，金中和所管理的相关信托账户买卖“恒顺电气”股票的行为，违反了《证券法》第七十三条、第七十六条的规定，构成了《证券法》第二百零二条所述内幕交易行为，时任金中和</w:t>
      </w:r>
      <w:r w:rsidRPr="00CA31EE">
        <w:rPr>
          <w:rFonts w:ascii="Times New Roman" w:eastAsia="宋体" w:hAnsi="Times New Roman" w:cs="Times New Roman" w:hint="eastAsia"/>
          <w:color w:val="000000"/>
          <w:kern w:val="0"/>
          <w:szCs w:val="21"/>
        </w:rPr>
        <w:t>CEO</w:t>
      </w:r>
      <w:r w:rsidRPr="00CA31EE">
        <w:rPr>
          <w:rFonts w:ascii="宋体" w:eastAsia="宋体" w:hAnsi="宋体" w:cs="宋体" w:hint="eastAsia"/>
          <w:color w:val="000000"/>
          <w:kern w:val="0"/>
          <w:szCs w:val="21"/>
        </w:rPr>
        <w:t>及投资总监的曾军是直接负责的主管人员。</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当事人金中和在听证过程中，提出如下申辩意见： </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其一，本案内幕交易的行为人是个人而非公司。</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其二，本案“违法所得”金额计算有误，金中和没有违法所得。</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我会认为：</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其一，金中和关于本案内幕交易的主体是个人而非公司的申辩理由不成立：一是曾军在公司有一定的地位和影响力，是金中和的</w:t>
      </w:r>
      <w:r w:rsidRPr="00CA31EE">
        <w:rPr>
          <w:rFonts w:ascii="Times New Roman" w:eastAsia="宋体" w:hAnsi="Times New Roman" w:cs="Times New Roman" w:hint="eastAsia"/>
          <w:color w:val="000000"/>
          <w:kern w:val="0"/>
          <w:szCs w:val="21"/>
        </w:rPr>
        <w:t>CEO</w:t>
      </w:r>
      <w:r w:rsidRPr="00CA31EE">
        <w:rPr>
          <w:rFonts w:ascii="宋体" w:eastAsia="宋体" w:hAnsi="宋体" w:cs="宋体" w:hint="eastAsia"/>
          <w:color w:val="000000"/>
          <w:kern w:val="0"/>
          <w:szCs w:val="21"/>
        </w:rPr>
        <w:t>和投资总监，并占公司较大股份；二是曾军所从事的投资行为未超出公司的授权范围</w:t>
      </w:r>
      <w:r w:rsidRPr="00CA31EE">
        <w:rPr>
          <w:rFonts w:ascii="Times New Roman" w:eastAsia="宋体" w:hAnsi="Times New Roman" w:cs="Times New Roman" w:hint="eastAsia"/>
          <w:color w:val="000000"/>
          <w:kern w:val="0"/>
          <w:szCs w:val="21"/>
        </w:rPr>
        <w:t>;</w:t>
      </w:r>
      <w:r w:rsidRPr="00CA31EE">
        <w:rPr>
          <w:rFonts w:ascii="宋体" w:eastAsia="宋体" w:hAnsi="宋体" w:cs="宋体" w:hint="eastAsia"/>
          <w:color w:val="000000"/>
          <w:kern w:val="0"/>
          <w:szCs w:val="21"/>
        </w:rPr>
        <w:t>三是本案涉及的投资业务属于公司经营业务范围内，收益归公司；四是公司在曾军所负责的两个涉案信托账户中均</w:t>
      </w:r>
      <w:proofErr w:type="gramStart"/>
      <w:r w:rsidRPr="00CA31EE">
        <w:rPr>
          <w:rFonts w:ascii="宋体" w:eastAsia="宋体" w:hAnsi="宋体" w:cs="宋体" w:hint="eastAsia"/>
          <w:color w:val="000000"/>
          <w:kern w:val="0"/>
          <w:szCs w:val="21"/>
        </w:rPr>
        <w:t>进行跟投，跟投</w:t>
      </w:r>
      <w:proofErr w:type="gramEnd"/>
      <w:r w:rsidRPr="00CA31EE">
        <w:rPr>
          <w:rFonts w:ascii="宋体" w:eastAsia="宋体" w:hAnsi="宋体" w:cs="宋体" w:hint="eastAsia"/>
          <w:color w:val="000000"/>
          <w:kern w:val="0"/>
          <w:szCs w:val="21"/>
        </w:rPr>
        <w:t>所产生的收益也直接归公司所有。</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其二，金中和提出的其所收取的固定管理费属合法所得的申辩意见具有合理性，依法予以采纳。</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其三，金中和两个涉案账户在内幕信息敏感期内买卖“恒顺电气”单只股票所获取的特定信托计划利益即为其违法所得。</w:t>
      </w:r>
    </w:p>
    <w:p w:rsidR="00CA31EE" w:rsidRPr="00CA31EE" w:rsidRDefault="00CA31EE" w:rsidP="00CA31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根据当事人违法行为的事实、性质、情节与社会危害程度，依据《证券法》第二百零二条的规定，我会决定：</w:t>
      </w:r>
    </w:p>
    <w:p w:rsidR="00CA31EE" w:rsidRPr="00CA31EE" w:rsidRDefault="00CA31EE" w:rsidP="00CA31EE">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一、没收金中和内幕交易期间违法所得</w:t>
      </w:r>
      <w:r w:rsidRPr="00CA31EE">
        <w:rPr>
          <w:rFonts w:ascii="Times New Roman" w:eastAsia="宋体" w:hAnsi="Times New Roman" w:cs="Times New Roman" w:hint="eastAsia"/>
          <w:color w:val="000000"/>
          <w:kern w:val="0"/>
          <w:szCs w:val="21"/>
        </w:rPr>
        <w:t>840,184.59</w:t>
      </w:r>
      <w:r w:rsidRPr="00CA31EE">
        <w:rPr>
          <w:rFonts w:ascii="宋体" w:eastAsia="宋体" w:hAnsi="宋体" w:cs="宋体" w:hint="eastAsia"/>
          <w:color w:val="000000"/>
          <w:kern w:val="0"/>
          <w:szCs w:val="21"/>
        </w:rPr>
        <w:t>元，并处以</w:t>
      </w:r>
      <w:r w:rsidRPr="00CA31EE">
        <w:rPr>
          <w:rFonts w:ascii="Times New Roman" w:eastAsia="宋体" w:hAnsi="Times New Roman" w:cs="Times New Roman" w:hint="eastAsia"/>
          <w:color w:val="000000"/>
          <w:kern w:val="0"/>
          <w:szCs w:val="21"/>
        </w:rPr>
        <w:t>2,520,553.77</w:t>
      </w:r>
      <w:r w:rsidRPr="00CA31EE">
        <w:rPr>
          <w:rFonts w:ascii="宋体" w:eastAsia="宋体" w:hAnsi="宋体" w:cs="宋体" w:hint="eastAsia"/>
          <w:color w:val="000000"/>
          <w:kern w:val="0"/>
          <w:szCs w:val="21"/>
        </w:rPr>
        <w:t>元罚款；</w:t>
      </w:r>
    </w:p>
    <w:p w:rsidR="00CA31EE" w:rsidRPr="00CA31EE" w:rsidRDefault="00CA31EE" w:rsidP="00CA31EE">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二、对曾军给予警告，并处以</w:t>
      </w:r>
      <w:r w:rsidRPr="00CA31EE">
        <w:rPr>
          <w:rFonts w:ascii="Times New Roman" w:eastAsia="宋体" w:hAnsi="Times New Roman" w:cs="Times New Roman" w:hint="eastAsia"/>
          <w:color w:val="000000"/>
          <w:kern w:val="0"/>
          <w:szCs w:val="21"/>
        </w:rPr>
        <w:t>30</w:t>
      </w:r>
      <w:r w:rsidRPr="00CA31EE">
        <w:rPr>
          <w:rFonts w:ascii="宋体" w:eastAsia="宋体" w:hAnsi="宋体" w:cs="宋体" w:hint="eastAsia"/>
          <w:color w:val="000000"/>
          <w:kern w:val="0"/>
          <w:szCs w:val="21"/>
        </w:rPr>
        <w:t>万元罚款。</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xml:space="preserve">　　</w:t>
      </w:r>
      <w:r w:rsidRPr="00CA31EE">
        <w:rPr>
          <w:rFonts w:ascii="Times New Roman" w:eastAsia="楷体" w:hAnsi="Times New Roman" w:cs="Times New Roman"/>
          <w:color w:val="000000"/>
          <w:kern w:val="0"/>
          <w:szCs w:val="21"/>
        </w:rPr>
        <w:t>上述当事人应自收到本处罚决定书之日起</w:t>
      </w:r>
      <w:r w:rsidRPr="00CA31EE">
        <w:rPr>
          <w:rFonts w:ascii="Times New Roman" w:eastAsia="楷体" w:hAnsi="Times New Roman" w:cs="Times New Roman"/>
          <w:color w:val="000000"/>
          <w:kern w:val="0"/>
          <w:szCs w:val="21"/>
        </w:rPr>
        <w:t>15</w:t>
      </w:r>
      <w:r w:rsidRPr="00CA31EE">
        <w:rPr>
          <w:rFonts w:ascii="宋体" w:eastAsia="宋体" w:hAnsi="宋体" w:cs="Times New Roman"/>
          <w:color w:val="000000"/>
          <w:kern w:val="0"/>
          <w:szCs w:val="21"/>
        </w:rPr>
        <w:t>日内，将罚</w:t>
      </w:r>
      <w:r w:rsidRPr="00CA31EE">
        <w:rPr>
          <w:rFonts w:ascii="宋体" w:eastAsia="宋体" w:hAnsi="宋体" w:cs="宋体" w:hint="eastAsia"/>
          <w:color w:val="000000"/>
          <w:kern w:val="0"/>
          <w:szCs w:val="21"/>
        </w:rPr>
        <w:t>没</w:t>
      </w:r>
      <w:r w:rsidRPr="00CA31EE">
        <w:rPr>
          <w:rFonts w:ascii="Times New Roman" w:eastAsia="楷体" w:hAnsi="Times New Roman" w:cs="Times New Roman"/>
          <w:color w:val="000000"/>
          <w:kern w:val="0"/>
          <w:szCs w:val="21"/>
        </w:rPr>
        <w:t>款汇交中国证券监督管理委员会（开户银行：中信银行总行营业部，账号：</w:t>
      </w:r>
      <w:r w:rsidRPr="00CA31EE">
        <w:rPr>
          <w:rFonts w:ascii="Times New Roman" w:eastAsia="楷体" w:hAnsi="Times New Roman" w:cs="Times New Roman"/>
          <w:color w:val="000000"/>
          <w:kern w:val="0"/>
          <w:szCs w:val="21"/>
        </w:rPr>
        <w:t>7111010189800000162</w:t>
      </w:r>
      <w:r w:rsidRPr="00CA31EE">
        <w:rPr>
          <w:rFonts w:ascii="宋体" w:eastAsia="宋体" w:hAnsi="宋体"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CA31EE">
        <w:rPr>
          <w:rFonts w:ascii="Times New Roman" w:eastAsia="楷体" w:hAnsi="Times New Roman" w:cs="Times New Roman"/>
          <w:color w:val="000000"/>
          <w:kern w:val="0"/>
          <w:szCs w:val="21"/>
        </w:rPr>
        <w:t>60</w:t>
      </w:r>
      <w:r w:rsidRPr="00CA31EE">
        <w:rPr>
          <w:rFonts w:ascii="宋体" w:eastAsia="宋体" w:hAnsi="宋体" w:cs="Times New Roman"/>
          <w:color w:val="000000"/>
          <w:kern w:val="0"/>
          <w:szCs w:val="21"/>
        </w:rPr>
        <w:t>日内向中国证券监督管理委</w:t>
      </w:r>
      <w:r w:rsidRPr="00CA31EE">
        <w:rPr>
          <w:rFonts w:ascii="宋体" w:eastAsia="宋体" w:hAnsi="宋体" w:cs="Times New Roman"/>
          <w:color w:val="000000"/>
          <w:kern w:val="0"/>
          <w:szCs w:val="21"/>
        </w:rPr>
        <w:lastRenderedPageBreak/>
        <w:t>员会申请行政复议，也可在收到本处罚决定书之日起</w:t>
      </w:r>
      <w:r w:rsidRPr="00CA31EE">
        <w:rPr>
          <w:rFonts w:ascii="宋体" w:eastAsia="宋体" w:hAnsi="宋体" w:cs="宋体" w:hint="eastAsia"/>
          <w:color w:val="000000"/>
          <w:kern w:val="0"/>
          <w:szCs w:val="21"/>
        </w:rPr>
        <w:t>6</w:t>
      </w:r>
      <w:r w:rsidRPr="00CA31EE">
        <w:rPr>
          <w:rFonts w:ascii="Times New Roman" w:eastAsia="楷体" w:hAnsi="Times New Roman" w:cs="Times New Roman"/>
          <w:color w:val="000000"/>
          <w:kern w:val="0"/>
          <w:szCs w:val="21"/>
        </w:rPr>
        <w:t>个月内直接向有管辖权的人民法院提起行政诉讼。复议和诉讼期间，上述决定不停止执行。</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Calibri" w:eastAsia="楷体" w:hAnsi="Calibri" w:cs="Calibri"/>
          <w:color w:val="000000"/>
          <w:kern w:val="0"/>
          <w:sz w:val="24"/>
          <w:szCs w:val="24"/>
        </w:rPr>
        <w:t> </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xml:space="preserve">　　　　　　　　　　　　　　　　　　　　　　　　　　　　　　　　　　　　　　　　　　　　　　 中国证监会</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宋体" w:eastAsia="宋体" w:hAnsi="宋体" w:cs="宋体" w:hint="eastAsia"/>
          <w:color w:val="000000"/>
          <w:kern w:val="0"/>
          <w:szCs w:val="21"/>
        </w:rPr>
        <w:t xml:space="preserve">　　　　　　　　　　　　　　　　　　　　　　　　　　　　　　　　　　　　　　　　　　　　　  2015年7月13日</w:t>
      </w:r>
    </w:p>
    <w:p w:rsidR="00CA31EE" w:rsidRPr="00CA31EE" w:rsidRDefault="00CA31EE" w:rsidP="00CA31EE">
      <w:pPr>
        <w:widowControl/>
        <w:shd w:val="clear" w:color="auto" w:fill="FFFFFF"/>
        <w:spacing w:line="360" w:lineRule="atLeast"/>
        <w:jc w:val="left"/>
        <w:rPr>
          <w:rFonts w:ascii="楷体" w:eastAsia="楷体" w:hAnsi="楷体" w:cs="宋体" w:hint="eastAsia"/>
          <w:color w:val="000000"/>
          <w:kern w:val="0"/>
          <w:sz w:val="24"/>
          <w:szCs w:val="24"/>
        </w:rPr>
      </w:pPr>
      <w:r w:rsidRPr="00CA31EE">
        <w:rPr>
          <w:rFonts w:ascii="Times New Roman" w:eastAsia="楷体" w:hAnsi="Times New Roman" w:cs="Times New Roman"/>
          <w:color w:val="000000"/>
          <w:kern w:val="0"/>
          <w:szCs w:val="21"/>
        </w:rPr>
        <w:t> </w:t>
      </w:r>
    </w:p>
    <w:p w:rsidR="00CA31EE" w:rsidRPr="00CA31EE" w:rsidRDefault="00CA31EE" w:rsidP="00CA31E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31EE">
        <w:rPr>
          <w:rFonts w:ascii="Times New Roman" w:eastAsia="楷体" w:hAnsi="Times New Roman" w:cs="Times New Roman"/>
          <w:color w:val="000000"/>
          <w:kern w:val="0"/>
          <w:szCs w:val="21"/>
        </w:rPr>
        <w:t xml:space="preserve">　　　</w:t>
      </w:r>
    </w:p>
    <w:p w:rsidR="00CA31EE" w:rsidRPr="00CA31EE" w:rsidRDefault="00CA31EE" w:rsidP="00CA31E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A31EE" w:rsidRPr="00CA31EE" w:rsidTr="00CA31EE">
        <w:trPr>
          <w:tblCellSpacing w:w="15" w:type="dxa"/>
          <w:jc w:val="center"/>
        </w:trPr>
        <w:tc>
          <w:tcPr>
            <w:tcW w:w="900" w:type="dxa"/>
            <w:vAlign w:val="center"/>
            <w:hideMark/>
          </w:tcPr>
          <w:p w:rsidR="00CA31EE" w:rsidRPr="00CA31EE" w:rsidRDefault="00CA31EE" w:rsidP="00CA31EE">
            <w:pPr>
              <w:widowControl/>
              <w:jc w:val="left"/>
              <w:rPr>
                <w:rFonts w:ascii="宋体" w:eastAsia="宋体" w:hAnsi="宋体" w:cs="宋体" w:hint="eastAsia"/>
                <w:kern w:val="0"/>
                <w:sz w:val="18"/>
                <w:szCs w:val="18"/>
              </w:rPr>
            </w:pPr>
            <w:r w:rsidRPr="00CA31EE">
              <w:rPr>
                <w:rFonts w:ascii="宋体" w:eastAsia="宋体" w:hAnsi="宋体" w:cs="宋体"/>
                <w:kern w:val="0"/>
                <w:sz w:val="18"/>
                <w:szCs w:val="18"/>
              </w:rPr>
              <w:t> </w:t>
            </w:r>
          </w:p>
        </w:tc>
        <w:tc>
          <w:tcPr>
            <w:tcW w:w="1200" w:type="dxa"/>
            <w:vAlign w:val="center"/>
            <w:hideMark/>
          </w:tcPr>
          <w:p w:rsidR="00CA31EE" w:rsidRPr="00CA31EE" w:rsidRDefault="00CA31EE" w:rsidP="00CA31EE">
            <w:pPr>
              <w:widowControl/>
              <w:jc w:val="left"/>
              <w:rPr>
                <w:rFonts w:ascii="宋体" w:eastAsia="宋体" w:hAnsi="宋体" w:cs="宋体"/>
                <w:kern w:val="0"/>
                <w:sz w:val="18"/>
                <w:szCs w:val="18"/>
              </w:rPr>
            </w:pPr>
            <w:r w:rsidRPr="00CA31E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31EE" w:rsidRPr="00CA31EE" w:rsidRDefault="00CA31EE" w:rsidP="00CA31EE">
            <w:pPr>
              <w:widowControl/>
              <w:jc w:val="left"/>
              <w:rPr>
                <w:rFonts w:ascii="宋体" w:eastAsia="宋体" w:hAnsi="宋体" w:cs="宋体"/>
                <w:kern w:val="0"/>
                <w:sz w:val="18"/>
                <w:szCs w:val="18"/>
              </w:rPr>
            </w:pPr>
            <w:r w:rsidRPr="00CA31E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31EE" w:rsidRPr="00CA31EE" w:rsidRDefault="00CA31EE" w:rsidP="00CA31EE">
            <w:pPr>
              <w:widowControl/>
              <w:jc w:val="left"/>
              <w:rPr>
                <w:rFonts w:ascii="宋体" w:eastAsia="宋体" w:hAnsi="宋体" w:cs="宋体"/>
                <w:kern w:val="0"/>
                <w:sz w:val="18"/>
                <w:szCs w:val="18"/>
              </w:rPr>
            </w:pPr>
            <w:r w:rsidRPr="00CA31E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A31EE" w:rsidRPr="00CA31EE" w:rsidRDefault="00CA31EE" w:rsidP="00CA31EE">
      <w:pPr>
        <w:widowControl/>
        <w:jc w:val="center"/>
        <w:rPr>
          <w:rFonts w:ascii="微软雅黑" w:eastAsia="微软雅黑" w:hAnsi="微软雅黑" w:cs="宋体"/>
          <w:color w:val="515151"/>
          <w:kern w:val="0"/>
          <w:sz w:val="18"/>
          <w:szCs w:val="18"/>
        </w:rPr>
      </w:pPr>
      <w:hyperlink r:id="rId11" w:tgtFrame="_blank" w:history="1">
        <w:r w:rsidRPr="00CA31EE">
          <w:rPr>
            <w:rFonts w:ascii="微软雅黑" w:eastAsia="微软雅黑" w:hAnsi="微软雅黑" w:cs="宋体" w:hint="eastAsia"/>
            <w:color w:val="0000FF"/>
            <w:kern w:val="0"/>
            <w:sz w:val="18"/>
            <w:szCs w:val="18"/>
            <w:u w:val="single"/>
          </w:rPr>
          <w:t>关于我们</w:t>
        </w:r>
      </w:hyperlink>
      <w:r w:rsidRPr="00CA31EE">
        <w:rPr>
          <w:rFonts w:ascii="微软雅黑" w:eastAsia="微软雅黑" w:hAnsi="微软雅黑" w:cs="宋体" w:hint="eastAsia"/>
          <w:color w:val="515151"/>
          <w:kern w:val="0"/>
          <w:sz w:val="18"/>
          <w:szCs w:val="18"/>
        </w:rPr>
        <w:t> - </w:t>
      </w:r>
      <w:hyperlink r:id="rId12" w:tgtFrame="_blank" w:history="1">
        <w:r w:rsidRPr="00CA31EE">
          <w:rPr>
            <w:rFonts w:ascii="微软雅黑" w:eastAsia="微软雅黑" w:hAnsi="微软雅黑" w:cs="宋体" w:hint="eastAsia"/>
            <w:color w:val="0000FF"/>
            <w:kern w:val="0"/>
            <w:sz w:val="18"/>
            <w:szCs w:val="18"/>
            <w:u w:val="single"/>
          </w:rPr>
          <w:t>法律声明</w:t>
        </w:r>
      </w:hyperlink>
      <w:r w:rsidRPr="00CA31EE">
        <w:rPr>
          <w:rFonts w:ascii="微软雅黑" w:eastAsia="微软雅黑" w:hAnsi="微软雅黑" w:cs="宋体" w:hint="eastAsia"/>
          <w:color w:val="515151"/>
          <w:kern w:val="0"/>
          <w:sz w:val="18"/>
          <w:szCs w:val="18"/>
        </w:rPr>
        <w:t> - </w:t>
      </w:r>
      <w:hyperlink r:id="rId13" w:tgtFrame="_blank" w:history="1">
        <w:r w:rsidRPr="00CA31EE">
          <w:rPr>
            <w:rFonts w:ascii="微软雅黑" w:eastAsia="微软雅黑" w:hAnsi="微软雅黑" w:cs="宋体" w:hint="eastAsia"/>
            <w:color w:val="0000FF"/>
            <w:kern w:val="0"/>
            <w:sz w:val="18"/>
            <w:szCs w:val="18"/>
            <w:u w:val="single"/>
          </w:rPr>
          <w:t>联系我们</w:t>
        </w:r>
      </w:hyperlink>
    </w:p>
    <w:p w:rsidR="00CA31EE" w:rsidRPr="00CA31EE" w:rsidRDefault="00CA31EE" w:rsidP="00CA31EE">
      <w:pPr>
        <w:widowControl/>
        <w:jc w:val="center"/>
        <w:rPr>
          <w:rFonts w:ascii="微软雅黑" w:eastAsia="微软雅黑" w:hAnsi="微软雅黑" w:cs="宋体" w:hint="eastAsia"/>
          <w:color w:val="515151"/>
          <w:kern w:val="0"/>
          <w:sz w:val="18"/>
          <w:szCs w:val="18"/>
        </w:rPr>
      </w:pPr>
      <w:r w:rsidRPr="00CA31EE">
        <w:rPr>
          <w:rFonts w:ascii="微软雅黑" w:eastAsia="微软雅黑" w:hAnsi="微软雅黑" w:cs="宋体" w:hint="eastAsia"/>
          <w:color w:val="515151"/>
          <w:kern w:val="0"/>
          <w:sz w:val="18"/>
          <w:szCs w:val="18"/>
        </w:rPr>
        <w:t>版权所有：中国证券监督管理委员会 京ICP备 05035542号</w:t>
      </w:r>
    </w:p>
    <w:p w:rsidR="00CA31EE" w:rsidRPr="00CA31EE" w:rsidRDefault="00CA31EE" w:rsidP="00CA31EE">
      <w:pPr>
        <w:widowControl/>
        <w:jc w:val="center"/>
        <w:rPr>
          <w:rFonts w:ascii="微软雅黑" w:eastAsia="微软雅黑" w:hAnsi="微软雅黑" w:cs="宋体" w:hint="eastAsia"/>
          <w:color w:val="515151"/>
          <w:kern w:val="0"/>
          <w:sz w:val="18"/>
          <w:szCs w:val="18"/>
        </w:rPr>
      </w:pPr>
      <w:r w:rsidRPr="00CA31EE">
        <w:rPr>
          <w:rFonts w:ascii="微软雅黑" w:eastAsia="微软雅黑" w:hAnsi="微软雅黑" w:cs="宋体" w:hint="eastAsia"/>
          <w:color w:val="515151"/>
          <w:kern w:val="0"/>
          <w:sz w:val="18"/>
          <w:szCs w:val="18"/>
        </w:rPr>
        <w:t>地址：北京市西城区金融大街19号富凯大厦A座 邮编：100033</w:t>
      </w:r>
    </w:p>
    <w:p w:rsidR="00CA31EE" w:rsidRPr="00CA31EE" w:rsidRDefault="00CA31EE" w:rsidP="00CA31EE">
      <w:pPr>
        <w:widowControl/>
        <w:jc w:val="center"/>
        <w:rPr>
          <w:rFonts w:ascii="微软雅黑" w:eastAsia="微软雅黑" w:hAnsi="微软雅黑" w:cs="宋体" w:hint="eastAsia"/>
          <w:color w:val="515151"/>
          <w:kern w:val="0"/>
          <w:sz w:val="18"/>
          <w:szCs w:val="18"/>
        </w:rPr>
      </w:pPr>
      <w:r w:rsidRPr="00CA31EE">
        <w:rPr>
          <w:rFonts w:ascii="微软雅黑" w:eastAsia="微软雅黑" w:hAnsi="微软雅黑" w:cs="宋体" w:hint="eastAsia"/>
          <w:color w:val="515151"/>
          <w:kern w:val="0"/>
          <w:sz w:val="18"/>
          <w:szCs w:val="18"/>
        </w:rPr>
        <w:t>建议使用IE5.5以上浏览器，分辨率1024*768</w:t>
      </w:r>
    </w:p>
    <w:p w:rsidR="00801F9F" w:rsidRPr="00CA31EE" w:rsidRDefault="00801F9F"/>
    <w:sectPr w:rsidR="00801F9F" w:rsidRPr="00CA3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EE"/>
    <w:rsid w:val="00801F9F"/>
    <w:rsid w:val="00CA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582CB-E870-4B75-8CBA-16A93FCD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1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31EE"/>
    <w:rPr>
      <w:b/>
      <w:bCs/>
    </w:rPr>
  </w:style>
  <w:style w:type="paragraph" w:customStyle="1" w:styleId="p0">
    <w:name w:val="p0"/>
    <w:basedOn w:val="a"/>
    <w:rsid w:val="00CA31E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CA31EE"/>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CA31E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A3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3802">
      <w:bodyDiv w:val="1"/>
      <w:marLeft w:val="0"/>
      <w:marRight w:val="0"/>
      <w:marTop w:val="0"/>
      <w:marBottom w:val="0"/>
      <w:divBdr>
        <w:top w:val="none" w:sz="0" w:space="0" w:color="auto"/>
        <w:left w:val="none" w:sz="0" w:space="0" w:color="auto"/>
        <w:bottom w:val="none" w:sz="0" w:space="0" w:color="auto"/>
        <w:right w:val="none" w:sz="0" w:space="0" w:color="auto"/>
      </w:divBdr>
      <w:divsChild>
        <w:div w:id="1707558124">
          <w:marLeft w:val="0"/>
          <w:marRight w:val="0"/>
          <w:marTop w:val="150"/>
          <w:marBottom w:val="150"/>
          <w:divBdr>
            <w:top w:val="none" w:sz="0" w:space="0" w:color="auto"/>
            <w:left w:val="none" w:sz="0" w:space="0" w:color="auto"/>
            <w:bottom w:val="none" w:sz="0" w:space="0" w:color="auto"/>
            <w:right w:val="none" w:sz="0" w:space="0" w:color="auto"/>
          </w:divBdr>
        </w:div>
        <w:div w:id="1486776714">
          <w:marLeft w:val="0"/>
          <w:marRight w:val="0"/>
          <w:marTop w:val="0"/>
          <w:marBottom w:val="0"/>
          <w:divBdr>
            <w:top w:val="single" w:sz="6" w:space="8" w:color="B5B5B5"/>
            <w:left w:val="single" w:sz="6" w:space="0" w:color="B5B5B5"/>
            <w:bottom w:val="single" w:sz="6" w:space="8" w:color="B5B5B5"/>
            <w:right w:val="single" w:sz="6" w:space="0" w:color="B5B5B5"/>
          </w:divBdr>
          <w:divsChild>
            <w:div w:id="934747405">
              <w:marLeft w:val="0"/>
              <w:marRight w:val="0"/>
              <w:marTop w:val="0"/>
              <w:marBottom w:val="0"/>
              <w:divBdr>
                <w:top w:val="none" w:sz="0" w:space="0" w:color="auto"/>
                <w:left w:val="none" w:sz="0" w:space="0" w:color="auto"/>
                <w:bottom w:val="none" w:sz="0" w:space="0" w:color="auto"/>
                <w:right w:val="none" w:sz="0" w:space="0" w:color="auto"/>
              </w:divBdr>
            </w:div>
            <w:div w:id="517084392">
              <w:marLeft w:val="0"/>
              <w:marRight w:val="0"/>
              <w:marTop w:val="0"/>
              <w:marBottom w:val="0"/>
              <w:divBdr>
                <w:top w:val="none" w:sz="0" w:space="0" w:color="auto"/>
                <w:left w:val="none" w:sz="0" w:space="0" w:color="auto"/>
                <w:bottom w:val="none" w:sz="0" w:space="0" w:color="auto"/>
                <w:right w:val="none" w:sz="0" w:space="0" w:color="auto"/>
              </w:divBdr>
            </w:div>
            <w:div w:id="655232937">
              <w:marLeft w:val="0"/>
              <w:marRight w:val="0"/>
              <w:marTop w:val="120"/>
              <w:marBottom w:val="120"/>
              <w:divBdr>
                <w:top w:val="none" w:sz="0" w:space="0" w:color="auto"/>
                <w:left w:val="none" w:sz="0" w:space="0" w:color="auto"/>
                <w:bottom w:val="none" w:sz="0" w:space="0" w:color="auto"/>
                <w:right w:val="none" w:sz="0" w:space="0" w:color="auto"/>
              </w:divBdr>
            </w:div>
          </w:divsChild>
        </w:div>
        <w:div w:id="557277688">
          <w:marLeft w:val="0"/>
          <w:marRight w:val="0"/>
          <w:marTop w:val="120"/>
          <w:marBottom w:val="0"/>
          <w:divBdr>
            <w:top w:val="none" w:sz="0" w:space="0" w:color="auto"/>
            <w:left w:val="none" w:sz="0" w:space="0" w:color="auto"/>
            <w:bottom w:val="none" w:sz="0" w:space="0" w:color="auto"/>
            <w:right w:val="none" w:sz="0" w:space="0" w:color="auto"/>
          </w:divBdr>
          <w:divsChild>
            <w:div w:id="1857302436">
              <w:marLeft w:val="0"/>
              <w:marRight w:val="0"/>
              <w:marTop w:val="60"/>
              <w:marBottom w:val="0"/>
              <w:divBdr>
                <w:top w:val="none" w:sz="0" w:space="0" w:color="auto"/>
                <w:left w:val="none" w:sz="0" w:space="0" w:color="auto"/>
                <w:bottom w:val="none" w:sz="0" w:space="0" w:color="auto"/>
                <w:right w:val="none" w:sz="0" w:space="0" w:color="auto"/>
              </w:divBdr>
            </w:div>
            <w:div w:id="864169804">
              <w:marLeft w:val="0"/>
              <w:marRight w:val="0"/>
              <w:marTop w:val="60"/>
              <w:marBottom w:val="0"/>
              <w:divBdr>
                <w:top w:val="none" w:sz="0" w:space="0" w:color="auto"/>
                <w:left w:val="none" w:sz="0" w:space="0" w:color="auto"/>
                <w:bottom w:val="none" w:sz="0" w:space="0" w:color="auto"/>
                <w:right w:val="none" w:sz="0" w:space="0" w:color="auto"/>
              </w:divBdr>
            </w:div>
            <w:div w:id="473375148">
              <w:marLeft w:val="0"/>
              <w:marRight w:val="0"/>
              <w:marTop w:val="60"/>
              <w:marBottom w:val="0"/>
              <w:divBdr>
                <w:top w:val="none" w:sz="0" w:space="0" w:color="auto"/>
                <w:left w:val="none" w:sz="0" w:space="0" w:color="auto"/>
                <w:bottom w:val="none" w:sz="0" w:space="0" w:color="auto"/>
                <w:right w:val="none" w:sz="0" w:space="0" w:color="auto"/>
              </w:divBdr>
            </w:div>
            <w:div w:id="12224020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25_2831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2020-02-17T15:10:00Z</dcterms:created>
  <dcterms:modified xsi:type="dcterms:W3CDTF">2020-02-17T15:10:00Z</dcterms:modified>
</cp:coreProperties>
</file>