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1C5D" w:rsidRPr="00CE1C5D" w:rsidRDefault="00CE1C5D" w:rsidP="00CE1C5D">
      <w:pPr>
        <w:widowControl/>
        <w:jc w:val="center"/>
        <w:rPr>
          <w:rFonts w:ascii="微软雅黑" w:eastAsia="微软雅黑" w:hAnsi="微软雅黑" w:cs="宋体"/>
          <w:color w:val="000000"/>
          <w:kern w:val="0"/>
          <w:sz w:val="18"/>
          <w:szCs w:val="18"/>
        </w:rPr>
      </w:pPr>
      <w:r w:rsidRPr="00CE1C5D">
        <w:rPr>
          <w:rFonts w:ascii="微软雅黑" w:eastAsia="微软雅黑" w:hAnsi="微软雅黑" w:cs="宋体"/>
          <w:noProof/>
          <w:color w:val="000000"/>
          <w:kern w:val="0"/>
          <w:sz w:val="18"/>
          <w:szCs w:val="18"/>
        </w:rPr>
        <w:drawing>
          <wp:inline distT="0" distB="0" distL="0" distR="0">
            <wp:extent cx="5274310" cy="5734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73405"/>
                    </a:xfrm>
                    <a:prstGeom prst="rect">
                      <a:avLst/>
                    </a:prstGeom>
                    <a:noFill/>
                    <a:ln>
                      <a:noFill/>
                    </a:ln>
                  </pic:spPr>
                </pic:pic>
              </a:graphicData>
            </a:graphic>
          </wp:inline>
        </w:drawing>
      </w:r>
    </w:p>
    <w:tbl>
      <w:tblPr>
        <w:tblW w:w="13230" w:type="dxa"/>
        <w:jc w:val="center"/>
        <w:tblCellSpacing w:w="0" w:type="dxa"/>
        <w:tblCellMar>
          <w:left w:w="0" w:type="dxa"/>
          <w:right w:w="0" w:type="dxa"/>
        </w:tblCellMar>
        <w:tblLook w:val="04A0" w:firstRow="1" w:lastRow="0" w:firstColumn="1" w:lastColumn="0" w:noHBand="0" w:noVBand="1"/>
      </w:tblPr>
      <w:tblGrid>
        <w:gridCol w:w="13230"/>
      </w:tblGrid>
      <w:tr w:rsidR="00CE1C5D" w:rsidRPr="00CE1C5D" w:rsidTr="00CE1C5D">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CE1C5D" w:rsidRPr="00CE1C5D">
              <w:trPr>
                <w:tblCellSpacing w:w="0" w:type="dxa"/>
              </w:trPr>
              <w:tc>
                <w:tcPr>
                  <w:tcW w:w="2500" w:type="pct"/>
                  <w:tcMar>
                    <w:top w:w="30" w:type="dxa"/>
                    <w:left w:w="30" w:type="dxa"/>
                    <w:bottom w:w="30" w:type="dxa"/>
                    <w:right w:w="30" w:type="dxa"/>
                  </w:tcMar>
                  <w:hideMark/>
                </w:tcPr>
                <w:p w:rsidR="00CE1C5D" w:rsidRPr="00CE1C5D" w:rsidRDefault="00CE1C5D" w:rsidP="00CE1C5D">
                  <w:pPr>
                    <w:widowControl/>
                    <w:jc w:val="left"/>
                    <w:rPr>
                      <w:rFonts w:ascii="宋体" w:eastAsia="宋体" w:hAnsi="宋体" w:cs="宋体" w:hint="eastAsia"/>
                      <w:color w:val="686868"/>
                      <w:kern w:val="0"/>
                      <w:sz w:val="18"/>
                      <w:szCs w:val="18"/>
                    </w:rPr>
                  </w:pPr>
                  <w:r w:rsidRPr="00CE1C5D">
                    <w:rPr>
                      <w:rFonts w:ascii="宋体" w:eastAsia="宋体" w:hAnsi="宋体" w:cs="宋体"/>
                      <w:b/>
                      <w:bCs/>
                      <w:color w:val="686868"/>
                      <w:kern w:val="0"/>
                      <w:sz w:val="18"/>
                      <w:szCs w:val="18"/>
                    </w:rPr>
                    <w:t>索 引 号:</w:t>
                  </w:r>
                  <w:r w:rsidRPr="00CE1C5D">
                    <w:rPr>
                      <w:rFonts w:ascii="宋体" w:eastAsia="宋体" w:hAnsi="宋体" w:cs="宋体"/>
                      <w:color w:val="686868"/>
                      <w:kern w:val="0"/>
                      <w:sz w:val="18"/>
                      <w:szCs w:val="18"/>
                    </w:rPr>
                    <w:t>40000895X/</w:t>
                  </w:r>
                </w:p>
              </w:tc>
              <w:tc>
                <w:tcPr>
                  <w:tcW w:w="0" w:type="auto"/>
                  <w:tcMar>
                    <w:top w:w="30" w:type="dxa"/>
                    <w:left w:w="30" w:type="dxa"/>
                    <w:bottom w:w="30" w:type="dxa"/>
                    <w:right w:w="30" w:type="dxa"/>
                  </w:tcMar>
                  <w:hideMark/>
                </w:tcPr>
                <w:p w:rsidR="00CE1C5D" w:rsidRPr="00CE1C5D" w:rsidRDefault="00CE1C5D" w:rsidP="00CE1C5D">
                  <w:pPr>
                    <w:widowControl/>
                    <w:jc w:val="left"/>
                    <w:rPr>
                      <w:rFonts w:ascii="宋体" w:eastAsia="宋体" w:hAnsi="宋体" w:cs="宋体"/>
                      <w:color w:val="686868"/>
                      <w:kern w:val="0"/>
                      <w:sz w:val="18"/>
                      <w:szCs w:val="18"/>
                    </w:rPr>
                  </w:pPr>
                  <w:r w:rsidRPr="00CE1C5D">
                    <w:rPr>
                      <w:rFonts w:ascii="宋体" w:eastAsia="宋体" w:hAnsi="宋体" w:cs="宋体"/>
                      <w:b/>
                      <w:bCs/>
                      <w:color w:val="686868"/>
                      <w:kern w:val="0"/>
                      <w:sz w:val="18"/>
                      <w:szCs w:val="18"/>
                    </w:rPr>
                    <w:t>分类:</w:t>
                  </w:r>
                  <w:r w:rsidRPr="00CE1C5D">
                    <w:rPr>
                      <w:rFonts w:ascii="宋体" w:eastAsia="宋体" w:hAnsi="宋体" w:cs="宋体"/>
                      <w:color w:val="686868"/>
                      <w:kern w:val="0"/>
                      <w:sz w:val="18"/>
                      <w:szCs w:val="18"/>
                    </w:rPr>
                    <w:t> 行政处罚 ; 行政处罚决定</w:t>
                  </w:r>
                </w:p>
              </w:tc>
            </w:tr>
          </w:tbl>
          <w:p w:rsidR="00CE1C5D" w:rsidRPr="00CE1C5D" w:rsidRDefault="00CE1C5D" w:rsidP="00CE1C5D">
            <w:pPr>
              <w:widowControl/>
              <w:jc w:val="left"/>
              <w:rPr>
                <w:rFonts w:ascii="宋体" w:eastAsia="宋体" w:hAnsi="宋体" w:cs="宋体"/>
                <w:color w:val="686868"/>
                <w:kern w:val="0"/>
                <w:sz w:val="18"/>
                <w:szCs w:val="18"/>
              </w:rPr>
            </w:pPr>
          </w:p>
        </w:tc>
      </w:tr>
      <w:tr w:rsidR="00CE1C5D" w:rsidRPr="00CE1C5D" w:rsidTr="00CE1C5D">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CE1C5D" w:rsidRPr="00CE1C5D">
              <w:trPr>
                <w:tblCellSpacing w:w="0" w:type="dxa"/>
              </w:trPr>
              <w:tc>
                <w:tcPr>
                  <w:tcW w:w="2500" w:type="pct"/>
                  <w:tcMar>
                    <w:top w:w="30" w:type="dxa"/>
                    <w:left w:w="30" w:type="dxa"/>
                    <w:bottom w:w="30" w:type="dxa"/>
                    <w:right w:w="30" w:type="dxa"/>
                  </w:tcMar>
                  <w:hideMark/>
                </w:tcPr>
                <w:p w:rsidR="00CE1C5D" w:rsidRPr="00CE1C5D" w:rsidRDefault="00CE1C5D" w:rsidP="00CE1C5D">
                  <w:pPr>
                    <w:widowControl/>
                    <w:jc w:val="left"/>
                    <w:rPr>
                      <w:rFonts w:ascii="宋体" w:eastAsia="宋体" w:hAnsi="宋体" w:cs="宋体"/>
                      <w:color w:val="686868"/>
                      <w:kern w:val="0"/>
                      <w:sz w:val="18"/>
                      <w:szCs w:val="18"/>
                    </w:rPr>
                  </w:pPr>
                  <w:r w:rsidRPr="00CE1C5D">
                    <w:rPr>
                      <w:rFonts w:ascii="宋体" w:eastAsia="宋体" w:hAnsi="宋体" w:cs="宋体"/>
                      <w:b/>
                      <w:bCs/>
                      <w:color w:val="686868"/>
                      <w:kern w:val="0"/>
                      <w:sz w:val="18"/>
                      <w:szCs w:val="18"/>
                    </w:rPr>
                    <w:t>发布机构:</w:t>
                  </w:r>
                  <w:r w:rsidRPr="00CE1C5D">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rsidR="00CE1C5D" w:rsidRPr="00CE1C5D" w:rsidRDefault="00CE1C5D" w:rsidP="00CE1C5D">
                  <w:pPr>
                    <w:widowControl/>
                    <w:jc w:val="left"/>
                    <w:rPr>
                      <w:rFonts w:ascii="宋体" w:eastAsia="宋体" w:hAnsi="宋体" w:cs="宋体"/>
                      <w:color w:val="686868"/>
                      <w:kern w:val="0"/>
                      <w:sz w:val="18"/>
                      <w:szCs w:val="18"/>
                    </w:rPr>
                  </w:pPr>
                  <w:r w:rsidRPr="00CE1C5D">
                    <w:rPr>
                      <w:rFonts w:ascii="宋体" w:eastAsia="宋体" w:hAnsi="宋体" w:cs="宋体"/>
                      <w:b/>
                      <w:bCs/>
                      <w:color w:val="686868"/>
                      <w:kern w:val="0"/>
                      <w:sz w:val="18"/>
                      <w:szCs w:val="18"/>
                    </w:rPr>
                    <w:t>发文日期:</w:t>
                  </w:r>
                  <w:r w:rsidRPr="00CE1C5D">
                    <w:rPr>
                      <w:rFonts w:ascii="宋体" w:eastAsia="宋体" w:hAnsi="宋体" w:cs="宋体"/>
                      <w:color w:val="686868"/>
                      <w:kern w:val="0"/>
                      <w:sz w:val="18"/>
                      <w:szCs w:val="18"/>
                    </w:rPr>
                    <w:t> 2015年12月07日</w:t>
                  </w:r>
                </w:p>
              </w:tc>
            </w:tr>
          </w:tbl>
          <w:p w:rsidR="00CE1C5D" w:rsidRPr="00CE1C5D" w:rsidRDefault="00CE1C5D" w:rsidP="00CE1C5D">
            <w:pPr>
              <w:widowControl/>
              <w:jc w:val="left"/>
              <w:rPr>
                <w:rFonts w:ascii="宋体" w:eastAsia="宋体" w:hAnsi="宋体" w:cs="宋体"/>
                <w:color w:val="686868"/>
                <w:kern w:val="0"/>
                <w:sz w:val="18"/>
                <w:szCs w:val="18"/>
              </w:rPr>
            </w:pPr>
          </w:p>
        </w:tc>
      </w:tr>
      <w:tr w:rsidR="00CE1C5D" w:rsidRPr="00CE1C5D" w:rsidTr="00CE1C5D">
        <w:trPr>
          <w:tblCellSpacing w:w="0" w:type="dxa"/>
          <w:jc w:val="center"/>
        </w:trPr>
        <w:tc>
          <w:tcPr>
            <w:tcW w:w="0" w:type="auto"/>
            <w:tcMar>
              <w:top w:w="30" w:type="dxa"/>
              <w:left w:w="30" w:type="dxa"/>
              <w:bottom w:w="30" w:type="dxa"/>
              <w:right w:w="30" w:type="dxa"/>
            </w:tcMar>
            <w:hideMark/>
          </w:tcPr>
          <w:p w:rsidR="00CE1C5D" w:rsidRPr="00CE1C5D" w:rsidRDefault="00CE1C5D" w:rsidP="00CE1C5D">
            <w:pPr>
              <w:widowControl/>
              <w:jc w:val="left"/>
              <w:rPr>
                <w:rFonts w:ascii="宋体" w:eastAsia="宋体" w:hAnsi="宋体" w:cs="宋体"/>
                <w:color w:val="686868"/>
                <w:kern w:val="0"/>
                <w:sz w:val="18"/>
                <w:szCs w:val="18"/>
              </w:rPr>
            </w:pPr>
            <w:r w:rsidRPr="00CE1C5D">
              <w:rPr>
                <w:rFonts w:ascii="宋体" w:eastAsia="宋体" w:hAnsi="宋体" w:cs="宋体"/>
                <w:b/>
                <w:bCs/>
                <w:color w:val="686868"/>
                <w:kern w:val="0"/>
                <w:sz w:val="18"/>
                <w:szCs w:val="18"/>
              </w:rPr>
              <w:t>名　　称:</w:t>
            </w:r>
            <w:r w:rsidRPr="00CE1C5D">
              <w:rPr>
                <w:rFonts w:ascii="宋体" w:eastAsia="宋体" w:hAnsi="宋体" w:cs="宋体"/>
                <w:color w:val="686868"/>
                <w:kern w:val="0"/>
                <w:sz w:val="18"/>
                <w:szCs w:val="18"/>
              </w:rPr>
              <w:t> 中国证监会行政处罚决定书（吴永彪）</w:t>
            </w:r>
          </w:p>
        </w:tc>
      </w:tr>
      <w:tr w:rsidR="00CE1C5D" w:rsidRPr="00CE1C5D" w:rsidTr="00CE1C5D">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CE1C5D" w:rsidRPr="00CE1C5D">
              <w:trPr>
                <w:tblCellSpacing w:w="0" w:type="dxa"/>
              </w:trPr>
              <w:tc>
                <w:tcPr>
                  <w:tcW w:w="2500" w:type="pct"/>
                  <w:tcMar>
                    <w:top w:w="30" w:type="dxa"/>
                    <w:left w:w="30" w:type="dxa"/>
                    <w:bottom w:w="30" w:type="dxa"/>
                    <w:right w:w="30" w:type="dxa"/>
                  </w:tcMar>
                  <w:hideMark/>
                </w:tcPr>
                <w:p w:rsidR="00CE1C5D" w:rsidRPr="00CE1C5D" w:rsidRDefault="00CE1C5D" w:rsidP="00CE1C5D">
                  <w:pPr>
                    <w:widowControl/>
                    <w:jc w:val="left"/>
                    <w:rPr>
                      <w:rFonts w:ascii="宋体" w:eastAsia="宋体" w:hAnsi="宋体" w:cs="宋体"/>
                      <w:color w:val="686868"/>
                      <w:kern w:val="0"/>
                      <w:sz w:val="18"/>
                      <w:szCs w:val="18"/>
                    </w:rPr>
                  </w:pPr>
                  <w:r w:rsidRPr="00CE1C5D">
                    <w:rPr>
                      <w:rFonts w:ascii="宋体" w:eastAsia="宋体" w:hAnsi="宋体" w:cs="宋体"/>
                      <w:b/>
                      <w:bCs/>
                      <w:color w:val="686868"/>
                      <w:kern w:val="0"/>
                      <w:sz w:val="18"/>
                      <w:szCs w:val="18"/>
                    </w:rPr>
                    <w:t>文　　号:</w:t>
                  </w:r>
                  <w:r w:rsidRPr="00CE1C5D">
                    <w:rPr>
                      <w:rFonts w:ascii="宋体" w:eastAsia="宋体" w:hAnsi="宋体" w:cs="宋体"/>
                      <w:color w:val="686868"/>
                      <w:kern w:val="0"/>
                      <w:sz w:val="18"/>
                      <w:szCs w:val="18"/>
                    </w:rPr>
                    <w:t> </w:t>
                  </w:r>
                  <w:bookmarkStart w:id="0" w:name="_GoBack"/>
                  <w:r w:rsidRPr="00CE1C5D">
                    <w:rPr>
                      <w:rFonts w:ascii="宋体" w:eastAsia="宋体" w:hAnsi="宋体" w:cs="宋体"/>
                      <w:color w:val="686868"/>
                      <w:kern w:val="0"/>
                      <w:sz w:val="18"/>
                      <w:szCs w:val="18"/>
                    </w:rPr>
                    <w:t>〔2015〕86号</w:t>
                  </w:r>
                  <w:bookmarkEnd w:id="0"/>
                </w:p>
              </w:tc>
              <w:tc>
                <w:tcPr>
                  <w:tcW w:w="0" w:type="auto"/>
                  <w:tcMar>
                    <w:top w:w="30" w:type="dxa"/>
                    <w:left w:w="30" w:type="dxa"/>
                    <w:bottom w:w="30" w:type="dxa"/>
                    <w:right w:w="30" w:type="dxa"/>
                  </w:tcMar>
                  <w:hideMark/>
                </w:tcPr>
                <w:p w:rsidR="00CE1C5D" w:rsidRPr="00CE1C5D" w:rsidRDefault="00CE1C5D" w:rsidP="00CE1C5D">
                  <w:pPr>
                    <w:widowControl/>
                    <w:jc w:val="left"/>
                    <w:rPr>
                      <w:rFonts w:ascii="宋体" w:eastAsia="宋体" w:hAnsi="宋体" w:cs="宋体"/>
                      <w:color w:val="686868"/>
                      <w:kern w:val="0"/>
                      <w:sz w:val="18"/>
                      <w:szCs w:val="18"/>
                    </w:rPr>
                  </w:pPr>
                  <w:r w:rsidRPr="00CE1C5D">
                    <w:rPr>
                      <w:rFonts w:ascii="宋体" w:eastAsia="宋体" w:hAnsi="宋体" w:cs="宋体"/>
                      <w:b/>
                      <w:bCs/>
                      <w:color w:val="686868"/>
                      <w:kern w:val="0"/>
                      <w:sz w:val="18"/>
                      <w:szCs w:val="18"/>
                    </w:rPr>
                    <w:t>主 题 词:</w:t>
                  </w:r>
                </w:p>
              </w:tc>
            </w:tr>
          </w:tbl>
          <w:p w:rsidR="00CE1C5D" w:rsidRPr="00CE1C5D" w:rsidRDefault="00CE1C5D" w:rsidP="00CE1C5D">
            <w:pPr>
              <w:widowControl/>
              <w:jc w:val="left"/>
              <w:rPr>
                <w:rFonts w:ascii="宋体" w:eastAsia="宋体" w:hAnsi="宋体" w:cs="宋体"/>
                <w:color w:val="686868"/>
                <w:kern w:val="0"/>
                <w:sz w:val="18"/>
                <w:szCs w:val="18"/>
              </w:rPr>
            </w:pPr>
          </w:p>
        </w:tc>
      </w:tr>
    </w:tbl>
    <w:p w:rsidR="00CE1C5D" w:rsidRPr="00CE1C5D" w:rsidRDefault="00CE1C5D" w:rsidP="00CE1C5D">
      <w:pPr>
        <w:widowControl/>
        <w:jc w:val="center"/>
        <w:rPr>
          <w:rFonts w:ascii="微软雅黑" w:eastAsia="微软雅黑" w:hAnsi="微软雅黑" w:cs="宋体"/>
          <w:color w:val="000000"/>
          <w:kern w:val="0"/>
          <w:sz w:val="18"/>
          <w:szCs w:val="18"/>
        </w:rPr>
      </w:pPr>
      <w:r w:rsidRPr="00CE1C5D">
        <w:rPr>
          <w:rFonts w:ascii="微软雅黑" w:eastAsia="微软雅黑" w:hAnsi="微软雅黑" w:cs="宋体"/>
          <w:color w:val="000000"/>
          <w:kern w:val="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5" o:title=""/>
          </v:shape>
          <w:control r:id="rId6" w:name="对象 2" w:shapeid="_x0000_i1026"/>
        </w:object>
      </w:r>
    </w:p>
    <w:p w:rsidR="00CE1C5D" w:rsidRPr="00CE1C5D" w:rsidRDefault="00CE1C5D" w:rsidP="00CE1C5D">
      <w:pPr>
        <w:widowControl/>
        <w:shd w:val="clear" w:color="auto" w:fill="FFFFFF"/>
        <w:spacing w:after="240"/>
        <w:jc w:val="center"/>
        <w:rPr>
          <w:rFonts w:ascii="微软雅黑" w:eastAsia="微软雅黑" w:hAnsi="微软雅黑" w:cs="宋体" w:hint="eastAsia"/>
          <w:color w:val="000000"/>
          <w:kern w:val="0"/>
          <w:sz w:val="18"/>
          <w:szCs w:val="18"/>
        </w:rPr>
      </w:pPr>
      <w:r w:rsidRPr="00CE1C5D">
        <w:rPr>
          <w:rFonts w:ascii="微软雅黑" w:eastAsia="微软雅黑" w:hAnsi="微软雅黑" w:cs="宋体" w:hint="eastAsia"/>
          <w:color w:val="000000"/>
          <w:kern w:val="0"/>
          <w:sz w:val="18"/>
          <w:szCs w:val="18"/>
        </w:rPr>
        <w:br/>
      </w:r>
      <w:r w:rsidRPr="00CE1C5D">
        <w:rPr>
          <w:rFonts w:ascii="黑体" w:eastAsia="黑体" w:hAnsi="黑体" w:cs="宋体" w:hint="eastAsia"/>
          <w:b/>
          <w:bCs/>
          <w:color w:val="FF0000"/>
          <w:kern w:val="0"/>
          <w:sz w:val="36"/>
          <w:szCs w:val="36"/>
        </w:rPr>
        <w:t>中国证监会行政处罚决定书（吴永彪）</w:t>
      </w:r>
    </w:p>
    <w:p w:rsidR="00CE1C5D" w:rsidRPr="00CE1C5D" w:rsidRDefault="00CE1C5D" w:rsidP="00CE1C5D">
      <w:pPr>
        <w:widowControl/>
        <w:shd w:val="clear" w:color="auto" w:fill="FFFFFF"/>
        <w:spacing w:line="360" w:lineRule="atLeast"/>
        <w:jc w:val="center"/>
        <w:rPr>
          <w:rFonts w:ascii="楷体" w:eastAsia="楷体" w:hAnsi="楷体" w:cs="宋体" w:hint="eastAsia"/>
          <w:color w:val="000000"/>
          <w:kern w:val="0"/>
          <w:sz w:val="24"/>
          <w:szCs w:val="24"/>
        </w:rPr>
      </w:pPr>
      <w:r w:rsidRPr="00CE1C5D">
        <w:rPr>
          <w:rFonts w:ascii="宋体" w:eastAsia="宋体" w:hAnsi="宋体" w:cs="宋体" w:hint="eastAsia"/>
          <w:color w:val="000000"/>
          <w:kern w:val="0"/>
          <w:szCs w:val="21"/>
        </w:rPr>
        <w:t>〔2015〕86号</w:t>
      </w:r>
    </w:p>
    <w:p w:rsidR="00CE1C5D" w:rsidRPr="00CE1C5D" w:rsidRDefault="00CE1C5D" w:rsidP="00CE1C5D">
      <w:pPr>
        <w:widowControl/>
        <w:shd w:val="clear" w:color="auto" w:fill="FFFFFF"/>
        <w:spacing w:line="360" w:lineRule="atLeast"/>
        <w:jc w:val="left"/>
        <w:rPr>
          <w:rFonts w:ascii="楷体" w:eastAsia="楷体" w:hAnsi="楷体" w:cs="宋体" w:hint="eastAsia"/>
          <w:color w:val="000000"/>
          <w:kern w:val="0"/>
          <w:sz w:val="24"/>
          <w:szCs w:val="24"/>
        </w:rPr>
      </w:pPr>
      <w:r w:rsidRPr="00CE1C5D">
        <w:rPr>
          <w:rFonts w:ascii="宋体" w:eastAsia="宋体" w:hAnsi="宋体" w:cs="宋体" w:hint="eastAsia"/>
          <w:color w:val="000000"/>
          <w:kern w:val="0"/>
          <w:szCs w:val="21"/>
        </w:rPr>
        <w:t> </w:t>
      </w:r>
    </w:p>
    <w:p w:rsidR="00CE1C5D" w:rsidRPr="00CE1C5D" w:rsidRDefault="00CE1C5D" w:rsidP="00CE1C5D">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CE1C5D">
        <w:rPr>
          <w:rFonts w:ascii="宋体" w:eastAsia="宋体" w:hAnsi="宋体" w:cs="宋体" w:hint="eastAsia"/>
          <w:color w:val="000000"/>
          <w:kern w:val="0"/>
          <w:szCs w:val="21"/>
        </w:rPr>
        <w:t>当事人：吴永彪，男，1979年9月出生，住址：广东省广州市海珠区。</w:t>
      </w:r>
    </w:p>
    <w:p w:rsidR="00CE1C5D" w:rsidRPr="00CE1C5D" w:rsidRDefault="00CE1C5D" w:rsidP="00CE1C5D">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CE1C5D">
        <w:rPr>
          <w:rFonts w:ascii="宋体" w:eastAsia="宋体" w:hAnsi="宋体" w:cs="宋体" w:hint="eastAsia"/>
          <w:color w:val="000000"/>
          <w:kern w:val="0"/>
          <w:szCs w:val="21"/>
        </w:rPr>
        <w:t>依据《中华人民共和国证券法》（以下简称《证券法》）的有关规定，我会对吴永彪内幕交易广州珠江啤酒股份有限公司（以下简称珠江啤酒）股票的行为进行了立案调查、审理，并依法向吴永彪告知了</w:t>
      </w:r>
      <w:proofErr w:type="gramStart"/>
      <w:r w:rsidRPr="00CE1C5D">
        <w:rPr>
          <w:rFonts w:ascii="宋体" w:eastAsia="宋体" w:hAnsi="宋体" w:cs="宋体" w:hint="eastAsia"/>
          <w:color w:val="000000"/>
          <w:kern w:val="0"/>
          <w:szCs w:val="21"/>
        </w:rPr>
        <w:t>作出</w:t>
      </w:r>
      <w:proofErr w:type="gramEnd"/>
      <w:r w:rsidRPr="00CE1C5D">
        <w:rPr>
          <w:rFonts w:ascii="宋体" w:eastAsia="宋体" w:hAnsi="宋体" w:cs="宋体" w:hint="eastAsia"/>
          <w:color w:val="000000"/>
          <w:kern w:val="0"/>
          <w:szCs w:val="21"/>
        </w:rPr>
        <w:t>行政处罚的事实、理由、依据及当事人依法享有的权利。应当事人吴永彪的要求，我会举行听证，听取了当事人的陈述、申辩意见。本案现已调查、审理终结。</w:t>
      </w:r>
    </w:p>
    <w:p w:rsidR="00CE1C5D" w:rsidRPr="00CE1C5D" w:rsidRDefault="00CE1C5D" w:rsidP="00CE1C5D">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CE1C5D">
        <w:rPr>
          <w:rFonts w:ascii="宋体" w:eastAsia="宋体" w:hAnsi="宋体" w:cs="宋体" w:hint="eastAsia"/>
          <w:color w:val="000000"/>
          <w:kern w:val="0"/>
          <w:szCs w:val="21"/>
        </w:rPr>
        <w:t>经查明，吴永彪存在以下违法事实：</w:t>
      </w:r>
    </w:p>
    <w:p w:rsidR="00CE1C5D" w:rsidRPr="00CE1C5D" w:rsidRDefault="00CE1C5D" w:rsidP="00CE1C5D">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CE1C5D">
        <w:rPr>
          <w:rFonts w:ascii="宋体" w:eastAsia="宋体" w:hAnsi="宋体" w:cs="宋体" w:hint="eastAsia"/>
          <w:color w:val="000000"/>
          <w:kern w:val="0"/>
          <w:szCs w:val="21"/>
        </w:rPr>
        <w:t>珠江啤酒2013年11月27日发布的“关于公司广州总部土地处置的公告”披露：公司与广州市政府有关部门已就广州总部土地处置达成一致意见，公司总部地块纳入政府储备，广州市政府按照《中华人民共和国土地管理法》、《中华人民共和国合同法》及相关政策征收公司土地17.38万平方米，并给予总补偿金额22.98亿元。土地收储补偿金额占珠江啤酒2012年12月31日（截止最近一期经审计的财务报告）总资产的40%，公司将获得的补偿款将对公司的资产状况、经营成果产生重要影响。因此，珠江啤酒与广州市政府有关部门已就广州总部土地处置达成一致意见，总部地块纳入政府储备，广州市政府给予其总补贴22.98亿元并</w:t>
      </w:r>
      <w:proofErr w:type="gramStart"/>
      <w:r w:rsidRPr="00CE1C5D">
        <w:rPr>
          <w:rFonts w:ascii="宋体" w:eastAsia="宋体" w:hAnsi="宋体" w:cs="宋体" w:hint="eastAsia"/>
          <w:color w:val="000000"/>
          <w:kern w:val="0"/>
          <w:szCs w:val="21"/>
        </w:rPr>
        <w:t>拟签订</w:t>
      </w:r>
      <w:proofErr w:type="gramEnd"/>
      <w:r w:rsidRPr="00CE1C5D">
        <w:rPr>
          <w:rFonts w:ascii="宋体" w:eastAsia="宋体" w:hAnsi="宋体" w:cs="宋体" w:hint="eastAsia"/>
          <w:color w:val="000000"/>
          <w:kern w:val="0"/>
          <w:szCs w:val="21"/>
        </w:rPr>
        <w:t>《国有土地征收补偿协议》的事项属于《证券法》第六十七条第二款第（三）项规定的“公司订立重要合同，可能对公司的资产、负债、权益及经营成果产生重大影响”的情形，属于《证券法》第七十五条第二款第（一）项规定的内幕信息。</w:t>
      </w:r>
    </w:p>
    <w:p w:rsidR="00CE1C5D" w:rsidRPr="00CE1C5D" w:rsidRDefault="00CE1C5D" w:rsidP="00CE1C5D">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CE1C5D">
        <w:rPr>
          <w:rFonts w:ascii="宋体" w:eastAsia="宋体" w:hAnsi="宋体" w:cs="宋体" w:hint="eastAsia"/>
          <w:color w:val="000000"/>
          <w:kern w:val="0"/>
          <w:szCs w:val="21"/>
        </w:rPr>
        <w:t>2013年11月12日，广州市土地管理委员会批准同意政府收储珠江啤酒总部土地17.4公顷、珠江啤酒自留用地6.9公顷的收储方案，由广州市土地开发中心按照22.98亿元补偿款与珠江啤酒签订征收补偿协议。因此，本案内幕信息敏感期为2013年11月12日至27日。钟</w:t>
      </w:r>
      <w:proofErr w:type="gramStart"/>
      <w:r w:rsidRPr="00CE1C5D">
        <w:rPr>
          <w:rFonts w:ascii="宋体" w:eastAsia="宋体" w:hAnsi="宋体" w:cs="宋体" w:hint="eastAsia"/>
          <w:color w:val="000000"/>
          <w:kern w:val="0"/>
          <w:szCs w:val="21"/>
        </w:rPr>
        <w:t>某海系珠江</w:t>
      </w:r>
      <w:proofErr w:type="gramEnd"/>
      <w:r w:rsidRPr="00CE1C5D">
        <w:rPr>
          <w:rFonts w:ascii="宋体" w:eastAsia="宋体" w:hAnsi="宋体" w:cs="宋体" w:hint="eastAsia"/>
          <w:color w:val="000000"/>
          <w:kern w:val="0"/>
          <w:szCs w:val="21"/>
        </w:rPr>
        <w:t>啤酒财务部经理，负责财务部全面工作。因珠江啤酒土地搬迁事项涉及财务部门的工作，钟某海作为财务部门主要责任人，参与搬迁事项，属于《证券法》第</w:t>
      </w:r>
      <w:r w:rsidRPr="00CE1C5D">
        <w:rPr>
          <w:rFonts w:ascii="宋体" w:eastAsia="宋体" w:hAnsi="宋体" w:cs="宋体" w:hint="eastAsia"/>
          <w:color w:val="000000"/>
          <w:kern w:val="0"/>
          <w:szCs w:val="21"/>
        </w:rPr>
        <w:lastRenderedPageBreak/>
        <w:t>七十四条第一款第（四）项规定的由于所任公司职务可以获取公司有关内幕信息的人员，其知悉内幕信息的时间不晚于2013年11月16日。</w:t>
      </w:r>
    </w:p>
    <w:p w:rsidR="00CE1C5D" w:rsidRPr="00CE1C5D" w:rsidRDefault="00CE1C5D" w:rsidP="00CE1C5D">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CE1C5D">
        <w:rPr>
          <w:rFonts w:ascii="宋体" w:eastAsia="宋体" w:hAnsi="宋体" w:cs="宋体" w:hint="eastAsia"/>
          <w:color w:val="000000"/>
          <w:kern w:val="0"/>
          <w:szCs w:val="21"/>
        </w:rPr>
        <w:t>吴永彪在内幕信息敏感期内与内幕信息知情人钟某海有通讯联系。钟某海告知吴永彪公司土地搬迁取得进展且谈论珠江啤酒股票后，吴永彪使用其账户累计买入“珠江啤酒”27,000股，成交281,180.24元，并于内幕信息公告后全部卖出，获利28,926.64元。吴永彪2013年11月18日买入“珠江啤酒”的资金是卖出“民生银行”、“通威股份”、“长城汽车”、“格力电器”等股票所得，该账户在2013年11月18日买入“珠江啤酒”，系开户以来首次买入，其亏损清仓卖出所持全部股票后全仓买入“珠江啤酒”，交易行为明显异常。</w:t>
      </w:r>
    </w:p>
    <w:p w:rsidR="00CE1C5D" w:rsidRPr="00CE1C5D" w:rsidRDefault="00CE1C5D" w:rsidP="00CE1C5D">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CE1C5D">
        <w:rPr>
          <w:rFonts w:ascii="宋体" w:eastAsia="宋体" w:hAnsi="宋体" w:cs="宋体" w:hint="eastAsia"/>
          <w:color w:val="000000"/>
          <w:kern w:val="0"/>
          <w:szCs w:val="21"/>
        </w:rPr>
        <w:t>以上事实有相关人员询问笔录、资金流水、交易数据、通话记录、交易所计算的数据等证据证明，足以认定。</w:t>
      </w:r>
    </w:p>
    <w:p w:rsidR="00CE1C5D" w:rsidRPr="00CE1C5D" w:rsidRDefault="00CE1C5D" w:rsidP="00CE1C5D">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CE1C5D">
        <w:rPr>
          <w:rFonts w:ascii="宋体" w:eastAsia="宋体" w:hAnsi="宋体" w:cs="宋体" w:hint="eastAsia"/>
          <w:color w:val="000000"/>
          <w:kern w:val="0"/>
          <w:szCs w:val="21"/>
        </w:rPr>
        <w:t>在我会组织的听证中，吴永彪提出如下申辩意见：涉案内幕信息早已存在，并已经在网络上有报道，其交易“珠江啤酒”的行为并不异常，而且调查取证环节涉嫌违法。吴永彪提供的证据为网络股吧里珠江啤酒搬迁事宜信息及相关讨论。</w:t>
      </w:r>
    </w:p>
    <w:p w:rsidR="00CE1C5D" w:rsidRPr="00CE1C5D" w:rsidRDefault="00CE1C5D" w:rsidP="00CE1C5D">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CE1C5D">
        <w:rPr>
          <w:rFonts w:ascii="宋体" w:eastAsia="宋体" w:hAnsi="宋体" w:cs="宋体" w:hint="eastAsia"/>
          <w:color w:val="000000"/>
          <w:kern w:val="0"/>
          <w:szCs w:val="21"/>
        </w:rPr>
        <w:t>经核实，珠江啤酒搬迁在网络上有讨论和报道，但具体的赔偿金额这一核心关键因素在11月12日才确定，相关内幕信息于该日形成。钟某海知悉内幕信息，并与吴永彪有联系。吴永彪在与钟某海通话后的第一个交易日即全仓买入，而且清仓卖出全部股票。吴永彪提出的程序问题涉及的相关证据并非本案的定案证据，吴永彪也未提交证据证明其所述事实。因此，吴永彪的申辩理由不成立，我会不予采纳。</w:t>
      </w:r>
    </w:p>
    <w:p w:rsidR="00CE1C5D" w:rsidRPr="00CE1C5D" w:rsidRDefault="00CE1C5D" w:rsidP="00CE1C5D">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CE1C5D">
        <w:rPr>
          <w:rFonts w:ascii="宋体" w:eastAsia="宋体" w:hAnsi="宋体" w:cs="宋体" w:hint="eastAsia"/>
          <w:color w:val="000000"/>
          <w:kern w:val="0"/>
          <w:szCs w:val="21"/>
        </w:rPr>
        <w:t>吴永彪的上述行为违反了《证券法》第七十三条、七十六条的规定，构成《证券法》第二百零二条所述的内幕交易行为。</w:t>
      </w:r>
    </w:p>
    <w:p w:rsidR="00CE1C5D" w:rsidRPr="00CE1C5D" w:rsidRDefault="00CE1C5D" w:rsidP="00CE1C5D">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CE1C5D">
        <w:rPr>
          <w:rFonts w:ascii="宋体" w:eastAsia="宋体" w:hAnsi="宋体" w:cs="宋体" w:hint="eastAsia"/>
          <w:color w:val="000000"/>
          <w:kern w:val="0"/>
          <w:szCs w:val="21"/>
        </w:rPr>
        <w:t>根据当事人违法行为的事实、性质、情节和社会危害程度，依据《证券法》第二百零二条的规定，我会决定：对吴永彪处以6万元罚款。</w:t>
      </w:r>
    </w:p>
    <w:p w:rsidR="00CE1C5D" w:rsidRPr="00CE1C5D" w:rsidRDefault="00CE1C5D" w:rsidP="00CE1C5D">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CE1C5D">
        <w:rPr>
          <w:rFonts w:ascii="宋体" w:eastAsia="宋体" w:hAnsi="宋体" w:cs="宋体" w:hint="eastAsia"/>
          <w:color w:val="000000"/>
          <w:kern w:val="0"/>
          <w:szCs w:val="21"/>
        </w:rPr>
        <w:t>上述当事人应自收到本处罚决定书之日起15日内，将罚款汇交中国证券监督管理委员会（开户银行：中信银行总行营业部，账号：7111010189800000162，由该行直接上缴国库），并将注有当事人名称的付款凭证复印件送中国证券监督管理委员会稽查局备案。当事人如果对本处罚决定不服，可在收到本处罚决定书之日起60日内向中国证券监督管理委员会申请行政复议，也可在收到本处罚决定书之日起6个月内向有管辖权的人民法院提起行政诉讼。复议和诉讼期间，上述决定不停止执行。</w:t>
      </w:r>
    </w:p>
    <w:p w:rsidR="00CE1C5D" w:rsidRPr="00CE1C5D" w:rsidRDefault="00CE1C5D" w:rsidP="00CE1C5D">
      <w:pPr>
        <w:widowControl/>
        <w:shd w:val="clear" w:color="auto" w:fill="FFFFFF"/>
        <w:spacing w:line="360" w:lineRule="atLeast"/>
        <w:jc w:val="left"/>
        <w:rPr>
          <w:rFonts w:ascii="楷体" w:eastAsia="楷体" w:hAnsi="楷体" w:cs="宋体" w:hint="eastAsia"/>
          <w:color w:val="000000"/>
          <w:kern w:val="0"/>
          <w:sz w:val="24"/>
          <w:szCs w:val="24"/>
        </w:rPr>
      </w:pPr>
      <w:r w:rsidRPr="00CE1C5D">
        <w:rPr>
          <w:rFonts w:ascii="宋体" w:eastAsia="宋体" w:hAnsi="宋体" w:cs="宋体" w:hint="eastAsia"/>
          <w:color w:val="000000"/>
          <w:kern w:val="0"/>
          <w:szCs w:val="21"/>
        </w:rPr>
        <w:t> </w:t>
      </w:r>
    </w:p>
    <w:p w:rsidR="00CE1C5D" w:rsidRPr="00CE1C5D" w:rsidRDefault="00CE1C5D" w:rsidP="00CE1C5D">
      <w:pPr>
        <w:widowControl/>
        <w:shd w:val="clear" w:color="auto" w:fill="FFFFFF"/>
        <w:spacing w:line="360" w:lineRule="atLeast"/>
        <w:jc w:val="left"/>
        <w:rPr>
          <w:rFonts w:ascii="楷体" w:eastAsia="楷体" w:hAnsi="楷体" w:cs="宋体" w:hint="eastAsia"/>
          <w:color w:val="000000"/>
          <w:kern w:val="0"/>
          <w:sz w:val="24"/>
          <w:szCs w:val="24"/>
        </w:rPr>
      </w:pPr>
      <w:r w:rsidRPr="00CE1C5D">
        <w:rPr>
          <w:rFonts w:ascii="宋体" w:eastAsia="宋体" w:hAnsi="宋体" w:cs="宋体" w:hint="eastAsia"/>
          <w:color w:val="000000"/>
          <w:kern w:val="0"/>
          <w:szCs w:val="21"/>
        </w:rPr>
        <w:t> </w:t>
      </w:r>
    </w:p>
    <w:p w:rsidR="00CE1C5D" w:rsidRPr="00CE1C5D" w:rsidRDefault="00CE1C5D" w:rsidP="00CE1C5D">
      <w:pPr>
        <w:widowControl/>
        <w:shd w:val="clear" w:color="auto" w:fill="FFFFFF"/>
        <w:spacing w:line="360" w:lineRule="atLeast"/>
        <w:jc w:val="left"/>
        <w:rPr>
          <w:rFonts w:ascii="楷体" w:eastAsia="楷体" w:hAnsi="楷体" w:cs="宋体" w:hint="eastAsia"/>
          <w:color w:val="000000"/>
          <w:kern w:val="0"/>
          <w:sz w:val="24"/>
          <w:szCs w:val="24"/>
        </w:rPr>
      </w:pPr>
      <w:r w:rsidRPr="00CE1C5D">
        <w:rPr>
          <w:rFonts w:ascii="宋体" w:eastAsia="宋体" w:hAnsi="宋体" w:cs="宋体" w:hint="eastAsia"/>
          <w:color w:val="000000"/>
          <w:kern w:val="0"/>
          <w:szCs w:val="21"/>
        </w:rPr>
        <w:t> </w:t>
      </w:r>
    </w:p>
    <w:p w:rsidR="00CE1C5D" w:rsidRPr="00CE1C5D" w:rsidRDefault="00CE1C5D" w:rsidP="00CE1C5D">
      <w:pPr>
        <w:widowControl/>
        <w:shd w:val="clear" w:color="auto" w:fill="FFFFFF"/>
        <w:wordWrap w:val="0"/>
        <w:spacing w:line="360" w:lineRule="atLeast"/>
        <w:jc w:val="right"/>
        <w:rPr>
          <w:rFonts w:ascii="楷体" w:eastAsia="楷体" w:hAnsi="楷体" w:cs="宋体" w:hint="eastAsia"/>
          <w:color w:val="000000"/>
          <w:kern w:val="0"/>
          <w:sz w:val="24"/>
          <w:szCs w:val="24"/>
        </w:rPr>
      </w:pPr>
      <w:r w:rsidRPr="00CE1C5D">
        <w:rPr>
          <w:rFonts w:ascii="宋体" w:eastAsia="宋体" w:hAnsi="宋体" w:cs="宋体" w:hint="eastAsia"/>
          <w:color w:val="000000"/>
          <w:kern w:val="0"/>
          <w:szCs w:val="21"/>
        </w:rPr>
        <w:t>中国证监会</w:t>
      </w:r>
      <w:proofErr w:type="gramStart"/>
      <w:r w:rsidRPr="00CE1C5D">
        <w:rPr>
          <w:rFonts w:ascii="宋体" w:eastAsia="宋体" w:hAnsi="宋体" w:cs="宋体" w:hint="eastAsia"/>
          <w:color w:val="000000"/>
          <w:kern w:val="0"/>
          <w:szCs w:val="21"/>
        </w:rPr>
        <w:t xml:space="preserve">　　　　　</w:t>
      </w:r>
      <w:proofErr w:type="gramEnd"/>
      <w:r w:rsidRPr="00CE1C5D">
        <w:rPr>
          <w:rFonts w:ascii="宋体" w:eastAsia="宋体" w:hAnsi="宋体" w:cs="宋体" w:hint="eastAsia"/>
          <w:color w:val="000000"/>
          <w:kern w:val="0"/>
          <w:szCs w:val="21"/>
        </w:rPr>
        <w:t> </w:t>
      </w:r>
    </w:p>
    <w:p w:rsidR="00CE1C5D" w:rsidRPr="00CE1C5D" w:rsidRDefault="00CE1C5D" w:rsidP="00CE1C5D">
      <w:pPr>
        <w:widowControl/>
        <w:shd w:val="clear" w:color="auto" w:fill="FFFFFF"/>
        <w:wordWrap w:val="0"/>
        <w:spacing w:line="360" w:lineRule="atLeast"/>
        <w:jc w:val="right"/>
        <w:rPr>
          <w:rFonts w:ascii="楷体" w:eastAsia="楷体" w:hAnsi="楷体" w:cs="宋体" w:hint="eastAsia"/>
          <w:color w:val="000000"/>
          <w:kern w:val="0"/>
          <w:sz w:val="24"/>
          <w:szCs w:val="24"/>
        </w:rPr>
      </w:pPr>
      <w:r w:rsidRPr="00CE1C5D">
        <w:rPr>
          <w:rFonts w:ascii="宋体" w:eastAsia="宋体" w:hAnsi="宋体" w:cs="宋体" w:hint="eastAsia"/>
          <w:color w:val="000000"/>
          <w:kern w:val="0"/>
          <w:szCs w:val="21"/>
        </w:rPr>
        <w:t xml:space="preserve">2015年12月7日　　</w:t>
      </w:r>
      <w:proofErr w:type="gramStart"/>
      <w:r w:rsidRPr="00CE1C5D">
        <w:rPr>
          <w:rFonts w:ascii="宋体" w:eastAsia="宋体" w:hAnsi="宋体" w:cs="宋体" w:hint="eastAsia"/>
          <w:color w:val="000000"/>
          <w:kern w:val="0"/>
          <w:szCs w:val="21"/>
        </w:rPr>
        <w:t xml:space="preserve">　　</w:t>
      </w:r>
      <w:proofErr w:type="gramEnd"/>
    </w:p>
    <w:p w:rsidR="00CE1C5D" w:rsidRPr="00CE1C5D" w:rsidRDefault="00CE1C5D" w:rsidP="00CE1C5D">
      <w:pPr>
        <w:widowControl/>
        <w:shd w:val="clear" w:color="auto" w:fill="FFFFFF"/>
        <w:jc w:val="center"/>
        <w:rPr>
          <w:rFonts w:ascii="微软雅黑" w:eastAsia="微软雅黑" w:hAnsi="微软雅黑" w:cs="宋体" w:hint="eastAsia"/>
          <w:color w:val="000000"/>
          <w:kern w:val="0"/>
          <w:sz w:val="18"/>
          <w:szCs w:val="18"/>
        </w:rPr>
      </w:pPr>
    </w:p>
    <w:tbl>
      <w:tblPr>
        <w:tblW w:w="0" w:type="auto"/>
        <w:jc w:val="center"/>
        <w:tblCellSpacing w:w="15" w:type="dxa"/>
        <w:tblCellMar>
          <w:left w:w="0" w:type="dxa"/>
          <w:right w:w="0" w:type="dxa"/>
        </w:tblCellMar>
        <w:tblLook w:val="04A0" w:firstRow="1" w:lastRow="0" w:firstColumn="1" w:lastColumn="0" w:noHBand="0" w:noVBand="1"/>
      </w:tblPr>
      <w:tblGrid>
        <w:gridCol w:w="945"/>
        <w:gridCol w:w="1230"/>
        <w:gridCol w:w="1230"/>
        <w:gridCol w:w="1245"/>
      </w:tblGrid>
      <w:tr w:rsidR="00CE1C5D" w:rsidRPr="00CE1C5D" w:rsidTr="00CE1C5D">
        <w:trPr>
          <w:tblCellSpacing w:w="15" w:type="dxa"/>
          <w:jc w:val="center"/>
        </w:trPr>
        <w:tc>
          <w:tcPr>
            <w:tcW w:w="900" w:type="dxa"/>
            <w:vAlign w:val="center"/>
            <w:hideMark/>
          </w:tcPr>
          <w:p w:rsidR="00CE1C5D" w:rsidRPr="00CE1C5D" w:rsidRDefault="00CE1C5D" w:rsidP="00CE1C5D">
            <w:pPr>
              <w:widowControl/>
              <w:jc w:val="left"/>
              <w:rPr>
                <w:rFonts w:ascii="宋体" w:eastAsia="宋体" w:hAnsi="宋体" w:cs="宋体" w:hint="eastAsia"/>
                <w:kern w:val="0"/>
                <w:sz w:val="18"/>
                <w:szCs w:val="18"/>
              </w:rPr>
            </w:pPr>
            <w:r w:rsidRPr="00CE1C5D">
              <w:rPr>
                <w:rFonts w:ascii="宋体" w:eastAsia="宋体" w:hAnsi="宋体" w:cs="宋体"/>
                <w:kern w:val="0"/>
                <w:sz w:val="18"/>
                <w:szCs w:val="18"/>
              </w:rPr>
              <w:t> </w:t>
            </w:r>
          </w:p>
        </w:tc>
        <w:tc>
          <w:tcPr>
            <w:tcW w:w="1200" w:type="dxa"/>
            <w:vAlign w:val="center"/>
            <w:hideMark/>
          </w:tcPr>
          <w:p w:rsidR="00CE1C5D" w:rsidRPr="00CE1C5D" w:rsidRDefault="00CE1C5D" w:rsidP="00CE1C5D">
            <w:pPr>
              <w:widowControl/>
              <w:jc w:val="left"/>
              <w:rPr>
                <w:rFonts w:ascii="宋体" w:eastAsia="宋体" w:hAnsi="宋体" w:cs="宋体"/>
                <w:kern w:val="0"/>
                <w:sz w:val="18"/>
                <w:szCs w:val="18"/>
              </w:rPr>
            </w:pPr>
            <w:r w:rsidRPr="00CE1C5D">
              <w:rPr>
                <w:rFonts w:ascii="宋体" w:eastAsia="宋体" w:hAnsi="宋体" w:cs="宋体"/>
                <w:noProof/>
                <w:color w:val="0000FF"/>
                <w:kern w:val="0"/>
                <w:sz w:val="18"/>
                <w:szCs w:val="18"/>
              </w:rPr>
              <w:drawing>
                <wp:inline distT="0" distB="0" distL="0" distR="0">
                  <wp:extent cx="666750" cy="171450"/>
                  <wp:effectExtent l="0" t="0" r="0" b="0"/>
                  <wp:docPr id="3" name="图片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CE1C5D" w:rsidRPr="00CE1C5D" w:rsidRDefault="00CE1C5D" w:rsidP="00CE1C5D">
            <w:pPr>
              <w:widowControl/>
              <w:jc w:val="left"/>
              <w:rPr>
                <w:rFonts w:ascii="宋体" w:eastAsia="宋体" w:hAnsi="宋体" w:cs="宋体"/>
                <w:kern w:val="0"/>
                <w:sz w:val="18"/>
                <w:szCs w:val="18"/>
              </w:rPr>
            </w:pPr>
            <w:r w:rsidRPr="00CE1C5D">
              <w:rPr>
                <w:rFonts w:ascii="宋体" w:eastAsia="宋体" w:hAnsi="宋体" w:cs="宋体"/>
                <w:noProof/>
                <w:color w:val="0000FF"/>
                <w:kern w:val="0"/>
                <w:sz w:val="18"/>
                <w:szCs w:val="18"/>
              </w:rPr>
              <w:drawing>
                <wp:inline distT="0" distB="0" distL="0" distR="0">
                  <wp:extent cx="666750" cy="171450"/>
                  <wp:effectExtent l="0" t="0" r="0" b="0"/>
                  <wp:docPr id="2" name="图片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CE1C5D" w:rsidRPr="00CE1C5D" w:rsidRDefault="00CE1C5D" w:rsidP="00CE1C5D">
            <w:pPr>
              <w:widowControl/>
              <w:jc w:val="left"/>
              <w:rPr>
                <w:rFonts w:ascii="宋体" w:eastAsia="宋体" w:hAnsi="宋体" w:cs="宋体"/>
                <w:kern w:val="0"/>
                <w:sz w:val="18"/>
                <w:szCs w:val="18"/>
              </w:rPr>
            </w:pPr>
            <w:r w:rsidRPr="00CE1C5D">
              <w:rPr>
                <w:rFonts w:ascii="宋体" w:eastAsia="宋体" w:hAnsi="宋体" w:cs="宋体"/>
                <w:noProof/>
                <w:color w:val="0000FF"/>
                <w:kern w:val="0"/>
                <w:sz w:val="18"/>
                <w:szCs w:val="18"/>
              </w:rPr>
              <w:drawing>
                <wp:inline distT="0" distB="0" distL="0" distR="0">
                  <wp:extent cx="666750" cy="171450"/>
                  <wp:effectExtent l="0" t="0" r="0" b="0"/>
                  <wp:docPr id="1" name="图片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r>
    </w:tbl>
    <w:p w:rsidR="00CE1C5D" w:rsidRPr="00CE1C5D" w:rsidRDefault="00CE1C5D" w:rsidP="00CE1C5D">
      <w:pPr>
        <w:widowControl/>
        <w:jc w:val="center"/>
        <w:rPr>
          <w:rFonts w:ascii="微软雅黑" w:eastAsia="微软雅黑" w:hAnsi="微软雅黑" w:cs="宋体"/>
          <w:color w:val="515151"/>
          <w:kern w:val="0"/>
          <w:sz w:val="18"/>
          <w:szCs w:val="18"/>
        </w:rPr>
      </w:pPr>
      <w:hyperlink r:id="rId11" w:tgtFrame="_blank" w:history="1">
        <w:r w:rsidRPr="00CE1C5D">
          <w:rPr>
            <w:rFonts w:ascii="微软雅黑" w:eastAsia="微软雅黑" w:hAnsi="微软雅黑" w:cs="宋体" w:hint="eastAsia"/>
            <w:color w:val="0000FF"/>
            <w:kern w:val="0"/>
            <w:sz w:val="18"/>
            <w:szCs w:val="18"/>
            <w:u w:val="single"/>
          </w:rPr>
          <w:t>关于我们</w:t>
        </w:r>
      </w:hyperlink>
      <w:r w:rsidRPr="00CE1C5D">
        <w:rPr>
          <w:rFonts w:ascii="微软雅黑" w:eastAsia="微软雅黑" w:hAnsi="微软雅黑" w:cs="宋体" w:hint="eastAsia"/>
          <w:color w:val="515151"/>
          <w:kern w:val="0"/>
          <w:sz w:val="18"/>
          <w:szCs w:val="18"/>
        </w:rPr>
        <w:t> - </w:t>
      </w:r>
      <w:hyperlink r:id="rId12" w:tgtFrame="_blank" w:history="1">
        <w:r w:rsidRPr="00CE1C5D">
          <w:rPr>
            <w:rFonts w:ascii="微软雅黑" w:eastAsia="微软雅黑" w:hAnsi="微软雅黑" w:cs="宋体" w:hint="eastAsia"/>
            <w:color w:val="0000FF"/>
            <w:kern w:val="0"/>
            <w:sz w:val="18"/>
            <w:szCs w:val="18"/>
            <w:u w:val="single"/>
          </w:rPr>
          <w:t>法律声明</w:t>
        </w:r>
      </w:hyperlink>
      <w:r w:rsidRPr="00CE1C5D">
        <w:rPr>
          <w:rFonts w:ascii="微软雅黑" w:eastAsia="微软雅黑" w:hAnsi="微软雅黑" w:cs="宋体" w:hint="eastAsia"/>
          <w:color w:val="515151"/>
          <w:kern w:val="0"/>
          <w:sz w:val="18"/>
          <w:szCs w:val="18"/>
        </w:rPr>
        <w:t> - </w:t>
      </w:r>
      <w:hyperlink r:id="rId13" w:tgtFrame="_blank" w:history="1">
        <w:r w:rsidRPr="00CE1C5D">
          <w:rPr>
            <w:rFonts w:ascii="微软雅黑" w:eastAsia="微软雅黑" w:hAnsi="微软雅黑" w:cs="宋体" w:hint="eastAsia"/>
            <w:color w:val="0000FF"/>
            <w:kern w:val="0"/>
            <w:sz w:val="18"/>
            <w:szCs w:val="18"/>
            <w:u w:val="single"/>
          </w:rPr>
          <w:t>联系我们</w:t>
        </w:r>
      </w:hyperlink>
    </w:p>
    <w:p w:rsidR="00CE1C5D" w:rsidRPr="00CE1C5D" w:rsidRDefault="00CE1C5D" w:rsidP="00CE1C5D">
      <w:pPr>
        <w:widowControl/>
        <w:jc w:val="center"/>
        <w:rPr>
          <w:rFonts w:ascii="微软雅黑" w:eastAsia="微软雅黑" w:hAnsi="微软雅黑" w:cs="宋体" w:hint="eastAsia"/>
          <w:color w:val="515151"/>
          <w:kern w:val="0"/>
          <w:sz w:val="18"/>
          <w:szCs w:val="18"/>
        </w:rPr>
      </w:pPr>
      <w:r w:rsidRPr="00CE1C5D">
        <w:rPr>
          <w:rFonts w:ascii="微软雅黑" w:eastAsia="微软雅黑" w:hAnsi="微软雅黑" w:cs="宋体" w:hint="eastAsia"/>
          <w:color w:val="515151"/>
          <w:kern w:val="0"/>
          <w:sz w:val="18"/>
          <w:szCs w:val="18"/>
        </w:rPr>
        <w:t>版权所有：中国证券监督管理委员会 京ICP备 05035542号</w:t>
      </w:r>
    </w:p>
    <w:p w:rsidR="00CE1C5D" w:rsidRPr="00CE1C5D" w:rsidRDefault="00CE1C5D" w:rsidP="00CE1C5D">
      <w:pPr>
        <w:widowControl/>
        <w:jc w:val="center"/>
        <w:rPr>
          <w:rFonts w:ascii="微软雅黑" w:eastAsia="微软雅黑" w:hAnsi="微软雅黑" w:cs="宋体" w:hint="eastAsia"/>
          <w:color w:val="515151"/>
          <w:kern w:val="0"/>
          <w:sz w:val="18"/>
          <w:szCs w:val="18"/>
        </w:rPr>
      </w:pPr>
      <w:r w:rsidRPr="00CE1C5D">
        <w:rPr>
          <w:rFonts w:ascii="微软雅黑" w:eastAsia="微软雅黑" w:hAnsi="微软雅黑" w:cs="宋体" w:hint="eastAsia"/>
          <w:color w:val="515151"/>
          <w:kern w:val="0"/>
          <w:sz w:val="18"/>
          <w:szCs w:val="18"/>
        </w:rPr>
        <w:t>地址：北京市西城区金融大街19号富凯大厦A座 邮编：100033</w:t>
      </w:r>
    </w:p>
    <w:p w:rsidR="00CE1C5D" w:rsidRPr="00CE1C5D" w:rsidRDefault="00CE1C5D" w:rsidP="00CE1C5D">
      <w:pPr>
        <w:widowControl/>
        <w:jc w:val="center"/>
        <w:rPr>
          <w:rFonts w:ascii="微软雅黑" w:eastAsia="微软雅黑" w:hAnsi="微软雅黑" w:cs="宋体" w:hint="eastAsia"/>
          <w:color w:val="515151"/>
          <w:kern w:val="0"/>
          <w:sz w:val="18"/>
          <w:szCs w:val="18"/>
        </w:rPr>
      </w:pPr>
      <w:r w:rsidRPr="00CE1C5D">
        <w:rPr>
          <w:rFonts w:ascii="微软雅黑" w:eastAsia="微软雅黑" w:hAnsi="微软雅黑" w:cs="宋体" w:hint="eastAsia"/>
          <w:color w:val="515151"/>
          <w:kern w:val="0"/>
          <w:sz w:val="18"/>
          <w:szCs w:val="18"/>
        </w:rPr>
        <w:lastRenderedPageBreak/>
        <w:t>建议使用IE5.5以上浏览器，分辨率1024*768</w:t>
      </w:r>
    </w:p>
    <w:p w:rsidR="00801F9F" w:rsidRPr="00CE1C5D" w:rsidRDefault="00801F9F"/>
    <w:sectPr w:rsidR="00801F9F" w:rsidRPr="00CE1C5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C5D"/>
    <w:rsid w:val="00801F9F"/>
    <w:rsid w:val="00CE1C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B0A78E-3C19-4B07-9D4A-0AC3D5278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E1C5D"/>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CE1C5D"/>
    <w:rPr>
      <w:b/>
      <w:bCs/>
    </w:rPr>
  </w:style>
  <w:style w:type="paragraph" w:customStyle="1" w:styleId="p0">
    <w:name w:val="p0"/>
    <w:basedOn w:val="a"/>
    <w:rsid w:val="00CE1C5D"/>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CE1C5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5430628">
      <w:bodyDiv w:val="1"/>
      <w:marLeft w:val="0"/>
      <w:marRight w:val="0"/>
      <w:marTop w:val="0"/>
      <w:marBottom w:val="0"/>
      <w:divBdr>
        <w:top w:val="none" w:sz="0" w:space="0" w:color="auto"/>
        <w:left w:val="none" w:sz="0" w:space="0" w:color="auto"/>
        <w:bottom w:val="none" w:sz="0" w:space="0" w:color="auto"/>
        <w:right w:val="none" w:sz="0" w:space="0" w:color="auto"/>
      </w:divBdr>
      <w:divsChild>
        <w:div w:id="1623730767">
          <w:marLeft w:val="0"/>
          <w:marRight w:val="0"/>
          <w:marTop w:val="150"/>
          <w:marBottom w:val="150"/>
          <w:divBdr>
            <w:top w:val="none" w:sz="0" w:space="0" w:color="auto"/>
            <w:left w:val="none" w:sz="0" w:space="0" w:color="auto"/>
            <w:bottom w:val="none" w:sz="0" w:space="0" w:color="auto"/>
            <w:right w:val="none" w:sz="0" w:space="0" w:color="auto"/>
          </w:divBdr>
        </w:div>
        <w:div w:id="275409361">
          <w:marLeft w:val="0"/>
          <w:marRight w:val="0"/>
          <w:marTop w:val="0"/>
          <w:marBottom w:val="0"/>
          <w:divBdr>
            <w:top w:val="single" w:sz="6" w:space="8" w:color="B5B5B5"/>
            <w:left w:val="single" w:sz="6" w:space="0" w:color="B5B5B5"/>
            <w:bottom w:val="single" w:sz="6" w:space="8" w:color="B5B5B5"/>
            <w:right w:val="single" w:sz="6" w:space="0" w:color="B5B5B5"/>
          </w:divBdr>
          <w:divsChild>
            <w:div w:id="1053575021">
              <w:marLeft w:val="0"/>
              <w:marRight w:val="0"/>
              <w:marTop w:val="0"/>
              <w:marBottom w:val="0"/>
              <w:divBdr>
                <w:top w:val="none" w:sz="0" w:space="0" w:color="auto"/>
                <w:left w:val="none" w:sz="0" w:space="0" w:color="auto"/>
                <w:bottom w:val="none" w:sz="0" w:space="0" w:color="auto"/>
                <w:right w:val="none" w:sz="0" w:space="0" w:color="auto"/>
              </w:divBdr>
            </w:div>
            <w:div w:id="1056244536">
              <w:marLeft w:val="0"/>
              <w:marRight w:val="0"/>
              <w:marTop w:val="0"/>
              <w:marBottom w:val="0"/>
              <w:divBdr>
                <w:top w:val="none" w:sz="0" w:space="0" w:color="auto"/>
                <w:left w:val="none" w:sz="0" w:space="0" w:color="auto"/>
                <w:bottom w:val="none" w:sz="0" w:space="0" w:color="auto"/>
                <w:right w:val="none" w:sz="0" w:space="0" w:color="auto"/>
              </w:divBdr>
            </w:div>
            <w:div w:id="1994992593">
              <w:marLeft w:val="0"/>
              <w:marRight w:val="0"/>
              <w:marTop w:val="120"/>
              <w:marBottom w:val="120"/>
              <w:divBdr>
                <w:top w:val="none" w:sz="0" w:space="0" w:color="auto"/>
                <w:left w:val="none" w:sz="0" w:space="0" w:color="auto"/>
                <w:bottom w:val="none" w:sz="0" w:space="0" w:color="auto"/>
                <w:right w:val="none" w:sz="0" w:space="0" w:color="auto"/>
              </w:divBdr>
            </w:div>
          </w:divsChild>
        </w:div>
        <w:div w:id="962925233">
          <w:marLeft w:val="0"/>
          <w:marRight w:val="0"/>
          <w:marTop w:val="120"/>
          <w:marBottom w:val="0"/>
          <w:divBdr>
            <w:top w:val="none" w:sz="0" w:space="0" w:color="auto"/>
            <w:left w:val="none" w:sz="0" w:space="0" w:color="auto"/>
            <w:bottom w:val="none" w:sz="0" w:space="0" w:color="auto"/>
            <w:right w:val="none" w:sz="0" w:space="0" w:color="auto"/>
          </w:divBdr>
          <w:divsChild>
            <w:div w:id="372925654">
              <w:marLeft w:val="0"/>
              <w:marRight w:val="0"/>
              <w:marTop w:val="60"/>
              <w:marBottom w:val="0"/>
              <w:divBdr>
                <w:top w:val="none" w:sz="0" w:space="0" w:color="auto"/>
                <w:left w:val="none" w:sz="0" w:space="0" w:color="auto"/>
                <w:bottom w:val="none" w:sz="0" w:space="0" w:color="auto"/>
                <w:right w:val="none" w:sz="0" w:space="0" w:color="auto"/>
              </w:divBdr>
            </w:div>
            <w:div w:id="513962161">
              <w:marLeft w:val="0"/>
              <w:marRight w:val="0"/>
              <w:marTop w:val="60"/>
              <w:marBottom w:val="0"/>
              <w:divBdr>
                <w:top w:val="none" w:sz="0" w:space="0" w:color="auto"/>
                <w:left w:val="none" w:sz="0" w:space="0" w:color="auto"/>
                <w:bottom w:val="none" w:sz="0" w:space="0" w:color="auto"/>
                <w:right w:val="none" w:sz="0" w:space="0" w:color="auto"/>
              </w:divBdr>
            </w:div>
            <w:div w:id="1300115964">
              <w:marLeft w:val="0"/>
              <w:marRight w:val="0"/>
              <w:marTop w:val="60"/>
              <w:marBottom w:val="0"/>
              <w:divBdr>
                <w:top w:val="none" w:sz="0" w:space="0" w:color="auto"/>
                <w:left w:val="none" w:sz="0" w:space="0" w:color="auto"/>
                <w:bottom w:val="none" w:sz="0" w:space="0" w:color="auto"/>
                <w:right w:val="none" w:sz="0" w:space="0" w:color="auto"/>
              </w:divBdr>
            </w:div>
            <w:div w:id="692730355">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csrc.gov.cn/pub/newsite/fzlm/lxwm/" TargetMode="External"/><Relationship Id="rId3" Type="http://schemas.openxmlformats.org/officeDocument/2006/relationships/webSettings" Target="webSettings.xml"/><Relationship Id="rId7" Type="http://schemas.openxmlformats.org/officeDocument/2006/relationships/hyperlink" Target="http://www.csrc.gov.cn/pub/zjhpublic/G00306212/201605/t20160519_297503.htm?keywords=%E5%86%85%E5%B9%95%E4%BA%A4%E6%98%93" TargetMode="External"/><Relationship Id="rId12" Type="http://schemas.openxmlformats.org/officeDocument/2006/relationships/hyperlink" Target="http://www.csrc.gov.cn/pub/newsite/fzlm/fl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hyperlink" Target="http://www.csrc.gov.cn/pub/newsite/fzlm/gywm/" TargetMode="External"/><Relationship Id="rId5" Type="http://schemas.openxmlformats.org/officeDocument/2006/relationships/image" Target="media/image2.wmf"/><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image" Target="media/image1.jpeg"/><Relationship Id="rId9" Type="http://schemas.openxmlformats.org/officeDocument/2006/relationships/image" Target="media/image4.gi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355</Words>
  <Characters>2025</Characters>
  <Application>Microsoft Office Word</Application>
  <DocSecurity>0</DocSecurity>
  <Lines>16</Lines>
  <Paragraphs>4</Paragraphs>
  <ScaleCrop>false</ScaleCrop>
  <Company/>
  <LinksUpToDate>false</LinksUpToDate>
  <CharactersWithSpaces>2376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2020-02-17T15:05:00Z</dcterms:created>
  <dcterms:modified xsi:type="dcterms:W3CDTF">2020-02-17T15:06:00Z</dcterms:modified>
</cp:coreProperties>
</file>